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8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8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8"/>
        <w:rPr>
          <w:rFonts w:hint="default" w:ascii="Times New Roman" w:hAnsi="Times New Roman" w:eastAsia="宋体" w:cs="Times New Roman"/>
          <w:color w:val="auto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firstLine="42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</w:rPr>
        <w:t>中心城区建筑垃圾运输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eastAsia="zh-CN"/>
        </w:rPr>
        <w:t>从业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</w:rPr>
        <w:t>企业考核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none"/>
          <w:lang w:val="en-US" w:eastAsia="zh-CN"/>
        </w:rPr>
        <w:t>评分细则</w:t>
      </w:r>
    </w:p>
    <w:p>
      <w:pPr>
        <w:pStyle w:val="7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65"/>
        <w:gridCol w:w="5912"/>
        <w:gridCol w:w="2488"/>
        <w:gridCol w:w="5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tblHeader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  <w:t>指标</w:t>
            </w: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  <w:t>考核内容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  <w:t>扣分依据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none"/>
              </w:rPr>
              <w:t>扣分标准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自律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管理</w:t>
            </w: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拒不参加从业企业考核，拒不将密闭装置、行驶及装卸记录仪等电子装置接入智慧环卫·余土监控平台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将该从业企业从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《名录》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中清除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不执行市综合行政执法局（市城市管理局）的文件、会议精神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现场查验、查阅资料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阻碍执行职务、妨碍执法公务、不配合进行检查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5分/人/次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没有固定办公场所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现场检查、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没有与运输车辆相适应的停车场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现场检查、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6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未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建立污染应急预案，未按要求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落实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安全、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保洁措施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和配备清扫保洁人员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现场检查、查阅资料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7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从业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使用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未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安装密闭运输机械装置或密闭苫盖装置、行驶及装卸记录仪等电子装置的车辆运输建筑垃圾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8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运输车辆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所有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权变更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登记后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，未到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市容环境卫生主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管部门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报备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现场查验、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9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违规的运输车辆被停办处置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核准手续期间擅自运输建筑垃圾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被综合行政执法部门处罚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1万元以下的，扣10分/辆/次；处罚1万元至2万元以下的，扣20分/辆/次；处罚2万元及以上的，扣30分/辆/次。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聚众闹事、煽动或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正常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上访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现场查验、查阅资料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被国家级媒体曝光或部委级通报批评、约谈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经核实后，从业企业评为红牌三次，清退出《名录》12个月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被省级媒体曝光或省级通报批评、约谈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经核实后，从业企业评为红牌二次，清退出《名录》60天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被市级媒体曝光或市级通报批评、约谈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经核实后，从业企业评为红牌一次，清退出《名录》30天。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生产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eastAsia="zh-CN"/>
              </w:rPr>
              <w:t>管理</w:t>
            </w: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企业安全生产制度执行不到位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现场查验、查阅资料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企业未组织驾驶人员开展安全生产和法律法规教育培训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查阅培训记录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在造成人员伤亡的交通事故中，经交警部门认定从业企业驾驶员负主要责任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依据交警部门提供的信息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10分/人/次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在造成人员伤亡的交通事故中，经交警部门认定从业企业驾驶员负同等责任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依据交警部门提供的信息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在造成人员伤亡的交通事故中，经交警部门认定从业企业驾驶员负次等责任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依据交警部门提供的信息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2分/次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运输车辆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超速行驶、闯红灯、乱按喇叭的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依据交警部门提供的车辆违章信息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6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运输作业时，未在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工地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、倾倒点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出入口设置安全提示牌的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车辆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运输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管理</w:t>
            </w: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运输车辆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行驶及装卸记录仪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损坏仍进行运输作业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22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运输车辆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行驶时未有效使用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行驶及装卸记录仪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5分/辆/次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23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运输车辆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密闭装置损坏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仍进行运输作业或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车辆行驶时未启用密闭装置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辆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24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未作业车辆乱停乱放、占道停车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25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从业企业未经核准擅自处置建筑垃圾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被综合行政执法部门处罚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1万元以下的，扣10分/辆/次；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1万元至2万元以下的，扣20分/辆/次；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2万元及以上的，扣30分/辆/次。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26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运输过程中未按《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建筑垃圾处置核准许可表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核准的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时间、路线行驶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分/辆/次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,经道路运输、综合行政执法部门查获，取证后移交给公安交警进行行政处罚。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27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车辆行驶时密闭不严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28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车辆出场时，未安排专人冲洗和检查车辆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29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运输车辆出场前未有效冲洗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车辆运输时，沿途抛洒滴漏污染路面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2分/辆，由综合行政执法部门进行行政处罚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31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未安排专人沿运输路线进行清扫保洁，或未有效保洁造成路面二次污染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现场检查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32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-SA"/>
              </w:rPr>
              <w:t>未安排洒水车沿运输路线进行洒水冲洗保洁、抑制扬尘，或洒水车未有效冲洗保洁、抵制扬尘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现场检查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作业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管理</w:t>
            </w: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未按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建筑垃圾处置核准许可表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核准倾倒点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倾倒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建筑垃圾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被综合行政执法部门处罚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1万元以下的，扣10分/辆/次；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1万元至2万元以下的，扣20分/辆/次；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zh-CN" w:eastAsia="zh-CN" w:bidi="ar"/>
              </w:rPr>
              <w:t>处罚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2万元及以上的，扣30分/辆/次。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运输车辆未进行分类运输处置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35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建筑垃圾装卸过程中未有效采取湿法作业，产生扬尘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spacing w:val="0"/>
                <w:sz w:val="24"/>
                <w:szCs w:val="24"/>
                <w:u w:val="none"/>
              </w:rPr>
              <w:t>分/处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36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运输车辆离开消纳场所未做到净车出场、返程密闭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现场检查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、调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eastAsia="zh-CN"/>
              </w:rPr>
              <w:t>综合行政执法处罚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记录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</w:rPr>
              <w:t>分/辆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信息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共享</w:t>
            </w: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因超载行为被公安交警、交通运输、综合行政执法等部门查处的运输车辆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依据相关执法部门提供的查处信息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车辆超载导致驾驶证被扣1分或超载30%以下（不含30%）的，扣1分/辆/次；车辆超载导致驾驶证被扣3分或超载30%以上（含30%）至50%以下的车辆，3分/辆/次；车辆超载导致驾驶证被扣6分或超载50%以上（含50%）的车辆，6分/辆/次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一年内超载运输超过3次的运输车辆，应将相关信息函告交通运输部门进行处理，并将相关运输车辆从《名录》中清除。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从业企业运输车辆因超限超载被查处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依据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交通运输或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公安交警提供的查处信息</w:t>
            </w:r>
          </w:p>
        </w:tc>
        <w:tc>
          <w:tcPr>
            <w:tcW w:w="5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一年内违规车辆占从业企业运输车辆的10%-50%的，扣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30分；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一年内违规车辆占从业企业运输车辆50%以上，应将相关信息函告交通运输部门，并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将该从业企业从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《名录》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中清除。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因超限超载行为被交通运输部门责令停业整改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依据交通运输部门提供的查处信息</w:t>
            </w:r>
          </w:p>
        </w:tc>
        <w:tc>
          <w:tcPr>
            <w:tcW w:w="51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30分/次，在停业整改期内停止办理建筑垃圾处置核准手续。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  <w:lang w:val="en-US" w:eastAsia="zh-CN"/>
              </w:rPr>
              <w:t>40</w:t>
            </w:r>
          </w:p>
        </w:tc>
        <w:tc>
          <w:tcPr>
            <w:tcW w:w="1065" w:type="dxa"/>
            <w:vMerge w:val="continue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color w:val="auto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因超限超载行为被交通运输部门吊销道路运输经营许可证</w:t>
            </w:r>
          </w:p>
        </w:tc>
        <w:tc>
          <w:tcPr>
            <w:tcW w:w="2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依据交通运输部门提供的查处信息</w:t>
            </w:r>
          </w:p>
        </w:tc>
        <w:tc>
          <w:tcPr>
            <w:tcW w:w="51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将该从业企业从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《名录》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  <w:t>中清除，该企业不具有从事建筑垃圾运输资格。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备注：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1.从业企业当月未办理建筑垃圾处置核准且未开展建筑垃圾运输业务，该企业月度成绩不予计算，不评定等级；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  <w:u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违规问题经督办拒不整改的，加倍扣分。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  <w:lang w:val="en-US" w:eastAsia="zh-CN"/>
        </w:rPr>
        <w:sectPr>
          <w:pgSz w:w="16838" w:h="11906" w:orient="landscape"/>
          <w:pgMar w:top="595" w:right="851" w:bottom="1315" w:left="85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建筑垃圾运输企业申请纳入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《从业企业名录》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流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程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8" w:lineRule="exact"/>
        <w:ind w:firstLine="420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一、申请单位需提供的资料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营业执照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2.道路运输经营许可证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（含企业、车辆）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场地证明材料（自有或两年以上租赁期）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4.车辆停放场地证明材料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（自有或两年以上租赁期）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车辆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及驾驶员的基本信息（驾驶证、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行驶证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、车辆品牌型号、车身颜色、保险单）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6.健全的企业安全管理制度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配备保洁人员（身份证、劳动劳务合同）及设备（洒水车、高压水枪的购买发票或租赁合同）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二、查验程序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市环卫事务中心余土处置科负责收集从业企业提供的申请资料，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按照有关要求进行查验。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市环卫事务中心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智慧环卫·余土平台科负责督促落实企业安装车载监控设备。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市环卫事务中心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余土处置科、智慧环卫.余土科共同查验车辆密闭设施和监控设备安装情况。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市环卫事务中心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余土处置科、智慧环卫·余土科签署意见后上报环卫中心领导签字盖章。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三、上级审核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报市综合行政执法局市容园林科初审，经局分管领导审核同意列入《宜春市中心城区建筑垃圾运输从业企业名录》并在网站公示后，可以从事建筑垃圾运输处置。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8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建筑垃圾运输企业纳入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《从业企业名录》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申请表</w:t>
      </w:r>
    </w:p>
    <w:tbl>
      <w:tblPr>
        <w:tblStyle w:val="14"/>
        <w:tblpPr w:leftFromText="180" w:rightFromText="180" w:vertAnchor="text" w:horzAnchor="page" w:tblpXSpec="center" w:tblpY="594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85"/>
        <w:gridCol w:w="531"/>
        <w:gridCol w:w="151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从业企业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73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办公地址</w:t>
            </w:r>
          </w:p>
        </w:tc>
        <w:tc>
          <w:tcPr>
            <w:tcW w:w="735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车辆相关资料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（另附页）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停车场地址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申请安装监控设备数量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余土处置科查验意见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年  月  日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智慧环卫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·余土科查验意见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负责人签字：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市环境卫生事务中心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358" w:type="dxa"/>
            <w:gridSpan w:val="4"/>
            <w:noWrap w:val="0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负责人签字（盖章）：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市综合行政执法局意见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科室负责人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字：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394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1445" w:hanging="1440" w:hangingChars="6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导</w:t>
            </w:r>
          </w:p>
          <w:p>
            <w:pPr>
              <w:ind w:left="1445" w:hanging="1440" w:hangingChars="6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签字（盖章）：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1440" w:hangingChars="6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1441" w:leftChars="686" w:firstLine="720" w:firstLineChars="30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pStyle w:val="4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       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永中宋体">
    <w:altName w:val="方正书宋_GBK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43E5"/>
    <w:rsid w:val="01705BB5"/>
    <w:rsid w:val="0393519E"/>
    <w:rsid w:val="03FB7D6A"/>
    <w:rsid w:val="041E4641"/>
    <w:rsid w:val="05A74FE5"/>
    <w:rsid w:val="064A136A"/>
    <w:rsid w:val="06C1715B"/>
    <w:rsid w:val="07573D08"/>
    <w:rsid w:val="092F393C"/>
    <w:rsid w:val="0BAA1EAF"/>
    <w:rsid w:val="0C5061C5"/>
    <w:rsid w:val="0CFF4F41"/>
    <w:rsid w:val="0D4A756D"/>
    <w:rsid w:val="0E3D1A9D"/>
    <w:rsid w:val="0ED1467A"/>
    <w:rsid w:val="0EE05DAA"/>
    <w:rsid w:val="0F6D3E66"/>
    <w:rsid w:val="12375DC4"/>
    <w:rsid w:val="128519D6"/>
    <w:rsid w:val="14013E22"/>
    <w:rsid w:val="1499140D"/>
    <w:rsid w:val="15557940"/>
    <w:rsid w:val="16121DE5"/>
    <w:rsid w:val="165B37C2"/>
    <w:rsid w:val="16EC388E"/>
    <w:rsid w:val="17785AAF"/>
    <w:rsid w:val="18DBA991"/>
    <w:rsid w:val="1A101C7A"/>
    <w:rsid w:val="1A467670"/>
    <w:rsid w:val="1AD5F795"/>
    <w:rsid w:val="1B074DF3"/>
    <w:rsid w:val="1B793BAD"/>
    <w:rsid w:val="1B913702"/>
    <w:rsid w:val="1BCF5C6D"/>
    <w:rsid w:val="1C00282C"/>
    <w:rsid w:val="1CA4484A"/>
    <w:rsid w:val="1D3C2C31"/>
    <w:rsid w:val="1E0B5772"/>
    <w:rsid w:val="1EB29AF6"/>
    <w:rsid w:val="1F4348DF"/>
    <w:rsid w:val="1F4EE915"/>
    <w:rsid w:val="1FFB7DD4"/>
    <w:rsid w:val="210451BD"/>
    <w:rsid w:val="21DB4DA9"/>
    <w:rsid w:val="220079B0"/>
    <w:rsid w:val="22964643"/>
    <w:rsid w:val="22D4473F"/>
    <w:rsid w:val="23B112F6"/>
    <w:rsid w:val="23B862E6"/>
    <w:rsid w:val="244E112F"/>
    <w:rsid w:val="24DA16BC"/>
    <w:rsid w:val="25EE2BE5"/>
    <w:rsid w:val="26FFE60F"/>
    <w:rsid w:val="27FC6375"/>
    <w:rsid w:val="29BD2975"/>
    <w:rsid w:val="2C252D64"/>
    <w:rsid w:val="2CDE1CF5"/>
    <w:rsid w:val="2E1676A3"/>
    <w:rsid w:val="2EA84E22"/>
    <w:rsid w:val="2EB5110E"/>
    <w:rsid w:val="33475047"/>
    <w:rsid w:val="33742C96"/>
    <w:rsid w:val="33D310CB"/>
    <w:rsid w:val="33FCB515"/>
    <w:rsid w:val="34BF9A64"/>
    <w:rsid w:val="34C8740E"/>
    <w:rsid w:val="3561C73F"/>
    <w:rsid w:val="35FDF153"/>
    <w:rsid w:val="377E21EC"/>
    <w:rsid w:val="37FA18C3"/>
    <w:rsid w:val="388A0FF0"/>
    <w:rsid w:val="3A846F99"/>
    <w:rsid w:val="3AB66AD4"/>
    <w:rsid w:val="3AC7E4FC"/>
    <w:rsid w:val="3AD46EEE"/>
    <w:rsid w:val="3AF60B93"/>
    <w:rsid w:val="3B5672BA"/>
    <w:rsid w:val="3BC50892"/>
    <w:rsid w:val="3BFE6616"/>
    <w:rsid w:val="3BFF56DA"/>
    <w:rsid w:val="3C155312"/>
    <w:rsid w:val="3C287A19"/>
    <w:rsid w:val="3CFCC4FB"/>
    <w:rsid w:val="3D934244"/>
    <w:rsid w:val="3DBE8CF6"/>
    <w:rsid w:val="3DF76042"/>
    <w:rsid w:val="3DFFC6AF"/>
    <w:rsid w:val="3E0831C9"/>
    <w:rsid w:val="3ECEEF31"/>
    <w:rsid w:val="3F9E068E"/>
    <w:rsid w:val="41FF6EA9"/>
    <w:rsid w:val="432A0687"/>
    <w:rsid w:val="452F1BF4"/>
    <w:rsid w:val="466076A1"/>
    <w:rsid w:val="46694BC9"/>
    <w:rsid w:val="46D257DD"/>
    <w:rsid w:val="475D6196"/>
    <w:rsid w:val="48113F7E"/>
    <w:rsid w:val="49BF13F7"/>
    <w:rsid w:val="49C15925"/>
    <w:rsid w:val="4C547A06"/>
    <w:rsid w:val="4CE343E5"/>
    <w:rsid w:val="4E7531F9"/>
    <w:rsid w:val="4F5D274A"/>
    <w:rsid w:val="4FFDB2F1"/>
    <w:rsid w:val="50D02E83"/>
    <w:rsid w:val="50E7682E"/>
    <w:rsid w:val="517F0662"/>
    <w:rsid w:val="518619DB"/>
    <w:rsid w:val="55902C6A"/>
    <w:rsid w:val="56BC872B"/>
    <w:rsid w:val="57022BC7"/>
    <w:rsid w:val="576B77AB"/>
    <w:rsid w:val="5824598E"/>
    <w:rsid w:val="587C038A"/>
    <w:rsid w:val="588B02DC"/>
    <w:rsid w:val="58950061"/>
    <w:rsid w:val="59676C33"/>
    <w:rsid w:val="59E73AAA"/>
    <w:rsid w:val="59FF9DC7"/>
    <w:rsid w:val="5C747826"/>
    <w:rsid w:val="5CB77A18"/>
    <w:rsid w:val="5D3DC00C"/>
    <w:rsid w:val="5D437A8F"/>
    <w:rsid w:val="5EDA0D8A"/>
    <w:rsid w:val="5FA6249A"/>
    <w:rsid w:val="5FBEEFD3"/>
    <w:rsid w:val="5FD522B4"/>
    <w:rsid w:val="5FEDA677"/>
    <w:rsid w:val="5FFAE940"/>
    <w:rsid w:val="5FFE8359"/>
    <w:rsid w:val="5FFEC468"/>
    <w:rsid w:val="60DF659D"/>
    <w:rsid w:val="61EF0CAC"/>
    <w:rsid w:val="623A150D"/>
    <w:rsid w:val="62F90575"/>
    <w:rsid w:val="66285F04"/>
    <w:rsid w:val="689945E0"/>
    <w:rsid w:val="6ABE313B"/>
    <w:rsid w:val="6BE5CC57"/>
    <w:rsid w:val="6C110190"/>
    <w:rsid w:val="6C7F9869"/>
    <w:rsid w:val="6CED41C5"/>
    <w:rsid w:val="6EF74293"/>
    <w:rsid w:val="6F01132D"/>
    <w:rsid w:val="6F0767A7"/>
    <w:rsid w:val="6F7C49D6"/>
    <w:rsid w:val="6FBB3D9A"/>
    <w:rsid w:val="6FBFFC5E"/>
    <w:rsid w:val="70D210B8"/>
    <w:rsid w:val="71A74B1A"/>
    <w:rsid w:val="720F5F07"/>
    <w:rsid w:val="72E3A982"/>
    <w:rsid w:val="733FC67F"/>
    <w:rsid w:val="73EE8C9B"/>
    <w:rsid w:val="74E41A7C"/>
    <w:rsid w:val="74E501B1"/>
    <w:rsid w:val="75733CD7"/>
    <w:rsid w:val="75A00E60"/>
    <w:rsid w:val="77FEED2A"/>
    <w:rsid w:val="78CE1B6D"/>
    <w:rsid w:val="792B3D8F"/>
    <w:rsid w:val="7A0B36F5"/>
    <w:rsid w:val="7A1F89BB"/>
    <w:rsid w:val="7AF29CE5"/>
    <w:rsid w:val="7B5DA655"/>
    <w:rsid w:val="7BEDCA9D"/>
    <w:rsid w:val="7BEF4BE1"/>
    <w:rsid w:val="7CFA88E7"/>
    <w:rsid w:val="7CFFDC51"/>
    <w:rsid w:val="7D2E32BF"/>
    <w:rsid w:val="7D76C4F8"/>
    <w:rsid w:val="7D8D07AD"/>
    <w:rsid w:val="7DF55C4E"/>
    <w:rsid w:val="7DF68E6F"/>
    <w:rsid w:val="7EE7DA0F"/>
    <w:rsid w:val="7EEF44CB"/>
    <w:rsid w:val="7EFFA4C8"/>
    <w:rsid w:val="7F3BEFB1"/>
    <w:rsid w:val="7F461E66"/>
    <w:rsid w:val="7F465EF4"/>
    <w:rsid w:val="7F7D096B"/>
    <w:rsid w:val="7F97EC7D"/>
    <w:rsid w:val="7FBBF89A"/>
    <w:rsid w:val="7FCD112D"/>
    <w:rsid w:val="7FCF44BB"/>
    <w:rsid w:val="7FCFFDD7"/>
    <w:rsid w:val="7FD180FE"/>
    <w:rsid w:val="7FDD0967"/>
    <w:rsid w:val="7FF576C6"/>
    <w:rsid w:val="7FF5C1C6"/>
    <w:rsid w:val="7FFB492B"/>
    <w:rsid w:val="7FFDAD25"/>
    <w:rsid w:val="7FFFA418"/>
    <w:rsid w:val="85DC234C"/>
    <w:rsid w:val="8BF9C847"/>
    <w:rsid w:val="8D8B8829"/>
    <w:rsid w:val="8DBD7943"/>
    <w:rsid w:val="8FEF806C"/>
    <w:rsid w:val="97FFEC3C"/>
    <w:rsid w:val="97FFF8FC"/>
    <w:rsid w:val="9BDBA3EC"/>
    <w:rsid w:val="9EFF55B4"/>
    <w:rsid w:val="9F9F4B5E"/>
    <w:rsid w:val="9FBF5A30"/>
    <w:rsid w:val="ABEA0774"/>
    <w:rsid w:val="AF139286"/>
    <w:rsid w:val="AFDB3068"/>
    <w:rsid w:val="B22DB511"/>
    <w:rsid w:val="B57F0C6D"/>
    <w:rsid w:val="B5F7EA54"/>
    <w:rsid w:val="B696F842"/>
    <w:rsid w:val="B77B9511"/>
    <w:rsid w:val="B92EBA2C"/>
    <w:rsid w:val="BBFFCCBD"/>
    <w:rsid w:val="BDFE9364"/>
    <w:rsid w:val="BEBFF0DA"/>
    <w:rsid w:val="BFEA6156"/>
    <w:rsid w:val="BFF3DED7"/>
    <w:rsid w:val="BFFF3254"/>
    <w:rsid w:val="C1DF09BA"/>
    <w:rsid w:val="C45FCD80"/>
    <w:rsid w:val="C4F73994"/>
    <w:rsid w:val="CBDBC612"/>
    <w:rsid w:val="CD711305"/>
    <w:rsid w:val="CFFE4B08"/>
    <w:rsid w:val="D5FF41F8"/>
    <w:rsid w:val="DB137CC3"/>
    <w:rsid w:val="DB5FAC51"/>
    <w:rsid w:val="DD7FC4FA"/>
    <w:rsid w:val="DDCB9B32"/>
    <w:rsid w:val="DDDFFB37"/>
    <w:rsid w:val="DDF7F1CF"/>
    <w:rsid w:val="DEAD0163"/>
    <w:rsid w:val="DFC5525C"/>
    <w:rsid w:val="DFEF2844"/>
    <w:rsid w:val="DFF59F71"/>
    <w:rsid w:val="DFFB8562"/>
    <w:rsid w:val="E35BE974"/>
    <w:rsid w:val="E9EAEE01"/>
    <w:rsid w:val="EFEF5101"/>
    <w:rsid w:val="EFFEFF1F"/>
    <w:rsid w:val="EFFF0923"/>
    <w:rsid w:val="F3CFF11D"/>
    <w:rsid w:val="F3DBDABF"/>
    <w:rsid w:val="F3FDF0B9"/>
    <w:rsid w:val="F3FE8F37"/>
    <w:rsid w:val="F47B989D"/>
    <w:rsid w:val="F5DF5F8B"/>
    <w:rsid w:val="F5ED72B6"/>
    <w:rsid w:val="F5FD0E95"/>
    <w:rsid w:val="F6AF7455"/>
    <w:rsid w:val="F77D475D"/>
    <w:rsid w:val="F7FF3726"/>
    <w:rsid w:val="F7FFA74B"/>
    <w:rsid w:val="F9DF8AE2"/>
    <w:rsid w:val="F9F9C096"/>
    <w:rsid w:val="FABD7690"/>
    <w:rsid w:val="FBBB092E"/>
    <w:rsid w:val="FBBE999C"/>
    <w:rsid w:val="FBD7E16E"/>
    <w:rsid w:val="FBFBCF35"/>
    <w:rsid w:val="FC3E99C7"/>
    <w:rsid w:val="FDC66B23"/>
    <w:rsid w:val="FDF5DF4B"/>
    <w:rsid w:val="FF8B5C34"/>
    <w:rsid w:val="FFAC14F0"/>
    <w:rsid w:val="FFBFAB65"/>
    <w:rsid w:val="FFCFAA3A"/>
    <w:rsid w:val="FFF6DF56"/>
    <w:rsid w:val="FFF73682"/>
    <w:rsid w:val="FFF787EC"/>
    <w:rsid w:val="FFFDB580"/>
    <w:rsid w:val="FFFE7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eastAsia="仿宋" w:cs="Courier New"/>
      <w:sz w:val="32"/>
    </w:r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index 7"/>
    <w:next w:val="1"/>
    <w:qFormat/>
    <w:uiPriority w:val="0"/>
    <w:pPr>
      <w:widowControl w:val="0"/>
      <w:ind w:left="2520"/>
      <w:jc w:val="both"/>
    </w:pPr>
    <w:rPr>
      <w:rFonts w:ascii="Calibri" w:hAnsi="Calibri" w:eastAsia="宋体" w:cs="永中宋体"/>
      <w:kern w:val="2"/>
      <w:sz w:val="21"/>
      <w:lang w:val="en-US" w:eastAsia="zh-CN" w:bidi="ar-SA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5"/>
    <w:next w:val="7"/>
    <w:unhideWhenUsed/>
    <w:qFormat/>
    <w:uiPriority w:val="99"/>
    <w:pPr>
      <w:spacing w:before="100" w:beforeAutospacing="1" w:after="0"/>
      <w:ind w:left="0" w:leftChars="0" w:firstLine="420"/>
    </w:pPr>
    <w:rPr>
      <w:sz w:val="28"/>
      <w:szCs w:val="2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qFormat/>
    <w:uiPriority w:val="0"/>
    <w:rPr>
      <w:color w:val="2B2B2B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yperlink"/>
    <w:basedOn w:val="15"/>
    <w:qFormat/>
    <w:uiPriority w:val="0"/>
    <w:rPr>
      <w:color w:val="2B2B2B"/>
      <w:u w:val="none"/>
    </w:rPr>
  </w:style>
  <w:style w:type="character" w:customStyle="1" w:styleId="20">
    <w:name w:val="ds-reads-app-special"/>
    <w:basedOn w:val="15"/>
    <w:qFormat/>
    <w:uiPriority w:val="0"/>
    <w:rPr>
      <w:color w:val="FFFFFF"/>
      <w:shd w:val="clear" w:fill="F94A47"/>
    </w:rPr>
  </w:style>
  <w:style w:type="character" w:customStyle="1" w:styleId="21">
    <w:name w:val="ds-reads-from"/>
    <w:basedOn w:val="15"/>
    <w:qFormat/>
    <w:uiPriority w:val="0"/>
  </w:style>
  <w:style w:type="character" w:customStyle="1" w:styleId="22">
    <w:name w:val="ds-unread-count"/>
    <w:basedOn w:val="15"/>
    <w:qFormat/>
    <w:uiPriority w:val="0"/>
    <w:rPr>
      <w:b/>
      <w:color w:val="EE3322"/>
    </w:rPr>
  </w:style>
  <w:style w:type="paragraph" w:customStyle="1" w:styleId="23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5472</Words>
  <Characters>5593</Characters>
  <Lines>0</Lines>
  <Paragraphs>0</Paragraphs>
  <TotalTime>5</TotalTime>
  <ScaleCrop>false</ScaleCrop>
  <LinksUpToDate>false</LinksUpToDate>
  <CharactersWithSpaces>5770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2017-03-11T06:44:00Z</dcterms:created>
  <dc:creator>Administrator</dc:creator>
  <cp:lastModifiedBy>user</cp:lastModifiedBy>
  <cp:lastPrinted>2022-08-17T17:54:00Z</cp:lastPrinted>
  <dcterms:modified xsi:type="dcterms:W3CDTF">2022-08-19T17:47:30Z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