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Toc491691904"/>
      <w:bookmarkStart w:id="1" w:name="_Toc49169190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宜春市综合行政执法局（市城管局）</w:t>
      </w:r>
    </w:p>
    <w:p>
      <w:pPr>
        <w:pStyle w:val="3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政务服务事项办事指南</w:t>
      </w:r>
      <w:bookmarkEnd w:id="0"/>
      <w:bookmarkEnd w:id="1"/>
    </w:p>
    <w:tbl>
      <w:tblPr>
        <w:tblStyle w:val="18"/>
        <w:tblW w:w="10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3" w:hRule="atLeast"/>
        </w:trPr>
        <w:tc>
          <w:tcPr>
            <w:tcW w:w="10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迁移古树名木审批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1"/>
              </w:rPr>
              <w:t>（办事指南）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bookmarkStart w:id="2" w:name="_Hlk493060278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一、事项名称</w:t>
            </w:r>
          </w:p>
          <w:bookmarkEnd w:id="2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事项名称：迁移古树名木审批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事项编码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事项编码：360117003003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三、事项类型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事项类型：行政许可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四、办事对象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办事对象：个人、法人、其它组织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五、行使层级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行使层级：市级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行使类型：本级保留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权限划分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本事项无权限划分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  <w:lang w:eastAsia="zh-CN"/>
              </w:rPr>
              <w:t>。</w:t>
            </w:r>
            <w:bookmarkStart w:id="3" w:name="_GoBack"/>
            <w:bookmarkEnd w:id="3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七、行使内容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工程建设涉及城市绿化用地、树木、古树名木审批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八、办件类型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办件类型：承诺件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九、设定依据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城市绿化条例》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（1992年6月22日国务院令第100号，2017年3月1日予以修改）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百年以上树龄的树木，稀有、珍贵树木，具有历史价值或者重要纪念意义的树木，均属古树名木。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对城市古树名木实行统一管理，分别养护。城市人民政府城市绿化行政主管部门，应当建立古树名木的档案和标志，划定保护范围，加强养护管理。在单位管界内或者私人庭院内的古树名木，由该单位或者居民负责养护，城市人民政府城市绿化行政主管部门负责监督和技术指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严禁砍伐或者迁移古树名木。因特殊需要迁移古树名木，必须经城市人民政府城市绿化行政主管部门审查同意，并报同级或者上级人民政府批准。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2.《宜春市城市绿化管理规定》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第三十条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　严格控制砍伐或者移植城市树木。城市内任何树木不论其所有权归属，确需砍伐、移植的，必须按下列规定办理审批手续，领取砍伐许可证后，方可砍伐：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（一）一次一处砍伐或者移植乔木10株、灌木10丛或者绿篱10米以下的，报城市人民政府绿化行政主管部门审批。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（二）一次一处砍伐或者移植乔木10—100株、灌木10—100丛或者绿篱10—100米的，经城市人民政府绿化行政主管部门审查同意，报城市人民政府审批。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（三）超过（二）项规定的，须报经省城市绿化行政主管部门审批。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经批准砍伐树木的建设单位应当对树木所有者进行补偿，并按“伐一栽三”的原则就地补植树木。不能就地补植的，由城市人民政府绿化行政主管部门安排易地补植，相关费用由建设单位承担。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十、实施机构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实施机构：宜春市综合行政执法局（市城管局）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责任处室：综合科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实施机构主体性质：法定机关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十一、受理条件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（一）准予批准的条件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申请材料齐全；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符合法定形式。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（二）不予批准的情形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申请人不符合以上条件，或者不能提供足以证明符合条件的相关证明材料。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十二、数量限制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本事项无数量限制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十三、申请材料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（一）申请材料形式标准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由申请人编写的文件按A4规格纸张打印；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申请表中各项内容填写清晰、明了，与实际情况一致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（二）申请材料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  <w:lang w:eastAsia="zh-CN"/>
              </w:rPr>
              <w:t>目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录</w:t>
            </w:r>
          </w:p>
          <w:tbl>
            <w:tblPr>
              <w:tblStyle w:val="17"/>
              <w:tblW w:w="988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1"/>
              <w:gridCol w:w="3540"/>
              <w:gridCol w:w="1215"/>
              <w:gridCol w:w="915"/>
              <w:gridCol w:w="750"/>
              <w:gridCol w:w="885"/>
              <w:gridCol w:w="15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5" w:hRule="atLeast"/>
              </w:trPr>
              <w:tc>
                <w:tcPr>
                  <w:tcW w:w="1051" w:type="dxa"/>
                  <w:shd w:val="clear" w:color="auto" w:fill="auto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  <w:t>子项名称</w:t>
                  </w: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  <w:t>申请材料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kern w:val="0"/>
                      <w:sz w:val="18"/>
                      <w:szCs w:val="18"/>
                    </w:rPr>
                    <w:t>材料来源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  <w:t>原件/复印件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  <w:t>份数</w:t>
                  </w:r>
                </w:p>
              </w:tc>
              <w:tc>
                <w:tcPr>
                  <w:tcW w:w="885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  <w:t>纸质/电子报件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b w:val="0"/>
                      <w:bCs w:val="0"/>
                      <w:sz w:val="18"/>
                      <w:szCs w:val="18"/>
                    </w:rPr>
                    <w:t>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" w:hRule="atLeast"/>
              </w:trPr>
              <w:tc>
                <w:tcPr>
                  <w:tcW w:w="1051" w:type="dxa"/>
                  <w:vMerge w:val="restart"/>
                  <w:shd w:val="clear" w:color="auto" w:fill="auto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迁移古树名木审批</w:t>
                  </w: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  <w:lang w:eastAsia="zh-CN"/>
                    </w:rPr>
                    <w:t>申请资料（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18"/>
                      <w:szCs w:val="18"/>
                    </w:rPr>
                    <w:t>申请</w:t>
                  </w: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书</w:t>
                  </w: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  <w:lang w:eastAsia="zh-CN"/>
                    </w:rPr>
                    <w:t>、工商营业执照、法人或委托人身份证复印件、法人委托书）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申请人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  <w:lang w:eastAsia="zh-CN"/>
                    </w:rPr>
                    <w:t>复印件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5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纸质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必须提交的申请材料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atLeast"/>
              </w:trPr>
              <w:tc>
                <w:tcPr>
                  <w:tcW w:w="1051" w:type="dxa"/>
                  <w:vMerge w:val="continue"/>
                  <w:shd w:val="clear" w:color="auto" w:fill="auto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申请</w:t>
                  </w: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18"/>
                      <w:szCs w:val="18"/>
                    </w:rPr>
                    <w:t>迁移的树木</w:t>
                  </w: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的照片及位置平面示意图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申请人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原件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5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纸质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必须提交的申请材料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0" w:hRule="atLeast"/>
              </w:trPr>
              <w:tc>
                <w:tcPr>
                  <w:tcW w:w="1051" w:type="dxa"/>
                  <w:vMerge w:val="continue"/>
                  <w:shd w:val="clear" w:color="auto" w:fill="auto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18"/>
                      <w:szCs w:val="18"/>
                      <w:shd w:val="clear" w:color="auto" w:fill="FFFFFF"/>
                    </w:rPr>
                    <w:t>同级或者上级人民政府批准迁移古树名木的文件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申请人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原件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5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纸质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必须提交的申请材料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" w:hRule="atLeast"/>
              </w:trPr>
              <w:tc>
                <w:tcPr>
                  <w:tcW w:w="1051" w:type="dxa"/>
                  <w:vMerge w:val="continue"/>
                  <w:shd w:val="clear" w:color="auto" w:fill="auto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18"/>
                      <w:szCs w:val="18"/>
                      <w:shd w:val="clear" w:color="auto" w:fill="FFFFFF"/>
                    </w:rPr>
                    <w:t>古树名木移植专家论证意见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申请人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原件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5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纸质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可容缺材料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" w:hRule="atLeast"/>
              </w:trPr>
              <w:tc>
                <w:tcPr>
                  <w:tcW w:w="1051" w:type="dxa"/>
                  <w:vMerge w:val="continue"/>
                  <w:shd w:val="clear" w:color="auto" w:fill="auto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18"/>
                      <w:szCs w:val="18"/>
                      <w:shd w:val="clear" w:color="auto" w:fill="FFFFFF"/>
                    </w:rPr>
                    <w:t>移植方案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申请人</w:t>
                  </w:r>
                </w:p>
              </w:tc>
              <w:tc>
                <w:tcPr>
                  <w:tcW w:w="91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原件</w:t>
                  </w:r>
                </w:p>
              </w:tc>
              <w:tc>
                <w:tcPr>
                  <w:tcW w:w="75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5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纸质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必须提交的申请材料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十四、审查要点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（一）逐项提交各项资料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（二）应按照申请书说明的要求填写申请书各项内容。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十五、办理流程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（一）预约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电话预约：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0795-3216724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（二）申请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提交方式：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窗口提交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接收地址：江西省宜春市宜阳大厦中座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楼市审批局一窗综合受理窗口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工作时间：9:00--17:00（节假日预约、延时服务）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（三）受理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请人窗口提交申请材料，申请被受理的，可获得办理机构出具的受理通知书；申请不被受理的，可获得办理机构出具的不予受理通知书，不予受理通知书中说明不予受理的理由；提交申请但申请材料不齐全或者不符合法定形式，办理机构要当场出具补正材料通知书，通知书中应一次性告知需要补正的全部材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（四）实人认证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（五）办理进程查询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申请人可通过查询事项办理进程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1" w:firstLineChars="200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（六）办理结果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办理结果：许可表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（七）送达方式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送达方式：现场领取或邮寄送达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现场领取地址：江西省宜春市袁州区府中路宜阳大厦中座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楼市审批局一窗综合受理窗口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工作时间：9:00--17:00（节假日预约、延时服务）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1" w:firstLineChars="200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（八）到窗口次数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到窗口次数：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十六、办理期限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法定办结期限：9个工作日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承诺办结期限：3个工作日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方正黑体_GBK" w:hAnsi="方正黑体_GBK" w:eastAsia="方正黑体_GBK" w:cs="方正黑体_GBK"/>
                <w:kern w:val="36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</w:rPr>
              <w:t>十七、事项收费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  <w:t>不收费。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十八、行政相对人权利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依法享有知情权、陈述权、申辩权，有权依法申请行政复议或者提起行政诉讼。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十九、行政相对人义务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应当如实向行政机关提交有关材料和反映真实情况，并对其申请材料实质内容的真实性负责。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二十、咨询途径</w:t>
            </w:r>
          </w:p>
          <w:p>
            <w:pPr>
              <w:pStyle w:val="62"/>
              <w:keepNext w:val="0"/>
              <w:keepLines w:val="0"/>
              <w:pageBreakBefore w:val="0"/>
              <w:tabs>
                <w:tab w:val="center" w:pos="5001"/>
                <w:tab w:val="clear" w:pos="4201"/>
                <w:tab w:val="clear" w:pos="9298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firstLine="481" w:firstLineChars="200"/>
              <w:jc w:val="left"/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（一）窗口咨询</w:t>
            </w:r>
          </w:p>
          <w:p>
            <w:pPr>
              <w:pStyle w:val="6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地址：江西省宜春市袁州区府中路宜阳大厦中座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楼市审批局一窗综合受理窗口。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工作时间：9:00--17:00（节假日预约、延时服务）。</w:t>
            </w:r>
          </w:p>
          <w:p>
            <w:pPr>
              <w:pStyle w:val="62"/>
              <w:keepNext w:val="0"/>
              <w:keepLines w:val="0"/>
              <w:pageBreakBefore w:val="0"/>
              <w:tabs>
                <w:tab w:val="center" w:pos="5001"/>
                <w:tab w:val="clear" w:pos="4201"/>
                <w:tab w:val="clear" w:pos="9298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firstLine="481" w:firstLineChars="200"/>
              <w:jc w:val="left"/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（二）电话咨询</w:t>
            </w:r>
          </w:p>
          <w:p>
            <w:pPr>
              <w:pStyle w:val="62"/>
              <w:keepNext w:val="0"/>
              <w:keepLines w:val="0"/>
              <w:pageBreakBefore w:val="0"/>
              <w:tabs>
                <w:tab w:val="clear" w:pos="4201"/>
                <w:tab w:val="clear" w:pos="9298"/>
              </w:tabs>
              <w:kinsoku/>
              <w:wordWrap/>
              <w:overflowPunct/>
              <w:topLinePunct w:val="0"/>
              <w:bidi w:val="0"/>
              <w:spacing w:line="400" w:lineRule="exact"/>
              <w:ind w:left="0" w:leftChars="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电话号码：0795－3216724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二十一、监督投诉</w:t>
            </w:r>
          </w:p>
          <w:p>
            <w:pPr>
              <w:pStyle w:val="62"/>
              <w:keepNext w:val="0"/>
              <w:keepLines w:val="0"/>
              <w:pageBreakBefore w:val="0"/>
              <w:tabs>
                <w:tab w:val="center" w:pos="5001"/>
                <w:tab w:val="clear" w:pos="4201"/>
                <w:tab w:val="clear" w:pos="9298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firstLine="481" w:firstLineChars="200"/>
              <w:jc w:val="left"/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（一）窗口投诉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窗口名称：市行政审批局监管协调处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地址：宜春市宜阳大厦中座三楼行政审批局督查考核科。</w:t>
            </w:r>
          </w:p>
          <w:p>
            <w:pPr>
              <w:pStyle w:val="62"/>
              <w:keepNext w:val="0"/>
              <w:keepLines w:val="0"/>
              <w:pageBreakBefore w:val="0"/>
              <w:tabs>
                <w:tab w:val="center" w:pos="5001"/>
                <w:tab w:val="clear" w:pos="4201"/>
                <w:tab w:val="clear" w:pos="9298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firstLine="481" w:firstLineChars="200"/>
              <w:jc w:val="left"/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（二）监督投诉电话</w:t>
            </w:r>
          </w:p>
          <w:p>
            <w:pPr>
              <w:pStyle w:val="6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电话号码：0795-3216742</w:t>
            </w:r>
          </w:p>
          <w:p>
            <w:pPr>
              <w:pStyle w:val="62"/>
              <w:keepNext w:val="0"/>
              <w:keepLines w:val="0"/>
              <w:pageBreakBefore w:val="0"/>
              <w:tabs>
                <w:tab w:val="center" w:pos="5001"/>
                <w:tab w:val="clear" w:pos="4201"/>
                <w:tab w:val="clear" w:pos="9298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firstLine="481" w:firstLineChars="20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（三）信函投诉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投诉受理部门：市行政审批局监管协调处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通讯地址：宜春市宜阳大厦中座三楼行政审批局督查考核科。</w:t>
            </w:r>
          </w:p>
          <w:p>
            <w:pPr>
              <w:pStyle w:val="62"/>
              <w:keepNext w:val="0"/>
              <w:keepLines w:val="0"/>
              <w:pageBreakBefore w:val="0"/>
              <w:tabs>
                <w:tab w:val="clear" w:pos="4201"/>
                <w:tab w:val="clear" w:pos="9298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邮政编码：33600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二十二、通办范围</w:t>
            </w:r>
          </w:p>
          <w:p>
            <w:pPr>
              <w:pStyle w:val="62"/>
              <w:keepNext w:val="0"/>
              <w:keepLines w:val="0"/>
              <w:pageBreakBefore w:val="0"/>
              <w:tabs>
                <w:tab w:val="clear" w:pos="4201"/>
                <w:tab w:val="clear" w:pos="9298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本事项不支持通办。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4"/>
                <w:szCs w:val="24"/>
              </w:rPr>
              <w:t>二十三、网上支付</w:t>
            </w:r>
          </w:p>
          <w:p>
            <w:pPr>
              <w:pStyle w:val="62"/>
              <w:keepNext w:val="0"/>
              <w:keepLines w:val="0"/>
              <w:pageBreakBefore w:val="0"/>
              <w:tabs>
                <w:tab w:val="clear" w:pos="4201"/>
                <w:tab w:val="clear" w:pos="9298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left="0" w:leftChars="0" w:firstLine="480" w:firstLineChars="200"/>
              <w:jc w:val="left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本事项不收费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kern w:val="3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kern w:val="3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kern w:val="3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kern w:val="3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kern w:val="3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kern w:val="3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kern w:val="3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kern w:val="3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kern w:val="36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8"/>
                <w:szCs w:val="28"/>
              </w:rPr>
              <w:t>附录1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行政许可申请书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72" w:firstLineChars="21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行政许可申请人: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72" w:firstLineChars="21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72" w:firstLineChars="21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址：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话：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72" w:firstLineChars="21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委托代理人：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72" w:firstLineChars="21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址：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72" w:firstLineChars="21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中标或委托建设单位：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72" w:firstLineChars="21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现场施工单位：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申请的事实和理由：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附：行政许可申请材料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940" w:firstLineChars="1544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960" w:firstLineChars="15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 托 代 理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960" w:firstLineChars="15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080" w:hanging="6080" w:hangingChars="19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年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日</w:t>
            </w:r>
          </w:p>
          <w:p>
            <w:pPr>
              <w:spacing w:line="440" w:lineRule="exact"/>
              <w:ind w:left="6080" w:hanging="6080" w:hangingChars="19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kern w:val="36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36"/>
                <w:sz w:val="28"/>
                <w:szCs w:val="28"/>
              </w:rPr>
              <w:t>附录2：结果样本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宜春市综合行政执法局（市城管局）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城市园林绿化类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审批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许可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宜综行执绿审字〔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号</w:t>
            </w:r>
          </w:p>
          <w:tbl>
            <w:tblPr>
              <w:tblStyle w:val="17"/>
              <w:tblpPr w:leftFromText="180" w:rightFromText="180" w:vertAnchor="text" w:horzAnchor="page" w:tblpX="65" w:tblpY="471"/>
              <w:tblW w:w="991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50"/>
              <w:gridCol w:w="2892"/>
              <w:gridCol w:w="2108"/>
              <w:gridCol w:w="23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4" w:hRule="atLeast"/>
              </w:trPr>
              <w:tc>
                <w:tcPr>
                  <w:tcW w:w="2550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申请单位</w:t>
                  </w:r>
                </w:p>
              </w:tc>
              <w:tc>
                <w:tcPr>
                  <w:tcW w:w="2892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项目负责人</w:t>
                  </w:r>
                </w:p>
              </w:tc>
              <w:tc>
                <w:tcPr>
                  <w:tcW w:w="236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2550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2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36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2550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中标或委托建设单位</w:t>
                  </w:r>
                </w:p>
              </w:tc>
              <w:tc>
                <w:tcPr>
                  <w:tcW w:w="2892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项目负责人</w:t>
                  </w:r>
                </w:p>
              </w:tc>
              <w:tc>
                <w:tcPr>
                  <w:tcW w:w="236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1" w:hRule="atLeast"/>
              </w:trPr>
              <w:tc>
                <w:tcPr>
                  <w:tcW w:w="2550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2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36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1" w:hRule="atLeast"/>
              </w:trPr>
              <w:tc>
                <w:tcPr>
                  <w:tcW w:w="2550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现场施工单位</w:t>
                  </w:r>
                </w:p>
              </w:tc>
              <w:tc>
                <w:tcPr>
                  <w:tcW w:w="2892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项目负责人</w:t>
                  </w:r>
                </w:p>
              </w:tc>
              <w:tc>
                <w:tcPr>
                  <w:tcW w:w="236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</w:trPr>
              <w:tc>
                <w:tcPr>
                  <w:tcW w:w="2550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2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36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5" w:hRule="atLeast"/>
              </w:trPr>
              <w:tc>
                <w:tcPr>
                  <w:tcW w:w="2550" w:type="dxa"/>
                  <w:vAlign w:val="center"/>
                </w:tcPr>
                <w:p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审批项目类型</w:t>
                  </w:r>
                </w:p>
              </w:tc>
              <w:tc>
                <w:tcPr>
                  <w:tcW w:w="7368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400" w:lineRule="exact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临时占用城市绿化用地审批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砍伐、移植、修剪城市树木审批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迁移古树名木审批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2550" w:type="dxa"/>
                  <w:vAlign w:val="center"/>
                </w:tcPr>
                <w:p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审批原因</w:t>
                  </w:r>
                </w:p>
              </w:tc>
              <w:tc>
                <w:tcPr>
                  <w:tcW w:w="2892" w:type="dxa"/>
                  <w:vAlign w:val="center"/>
                </w:tcPr>
                <w:p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地点</w:t>
                  </w:r>
                </w:p>
              </w:tc>
              <w:tc>
                <w:tcPr>
                  <w:tcW w:w="2368" w:type="dxa"/>
                  <w:vAlign w:val="center"/>
                </w:tcPr>
                <w:p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9" w:hRule="atLeast"/>
              </w:trPr>
              <w:tc>
                <w:tcPr>
                  <w:tcW w:w="2550" w:type="dxa"/>
                  <w:vAlign w:val="center"/>
                </w:tcPr>
                <w:p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占用绿地面积或砍伐、移植树木品种、数量</w:t>
                  </w:r>
                </w:p>
              </w:tc>
              <w:tc>
                <w:tcPr>
                  <w:tcW w:w="7368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4" w:hRule="atLeast"/>
              </w:trPr>
              <w:tc>
                <w:tcPr>
                  <w:tcW w:w="2550" w:type="dxa"/>
                  <w:vAlign w:val="center"/>
                </w:tcPr>
                <w:p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施工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地点</w:t>
                  </w:r>
                </w:p>
              </w:tc>
              <w:tc>
                <w:tcPr>
                  <w:tcW w:w="2892" w:type="dxa"/>
                  <w:vAlign w:val="center"/>
                </w:tcPr>
                <w:p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施工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2368" w:type="dxa"/>
                  <w:vAlign w:val="center"/>
                </w:tcPr>
                <w:p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2" w:hRule="atLeast"/>
              </w:trPr>
              <w:tc>
                <w:tcPr>
                  <w:tcW w:w="255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审批要求</w:t>
                  </w:r>
                </w:p>
              </w:tc>
              <w:tc>
                <w:tcPr>
                  <w:tcW w:w="7368" w:type="dxa"/>
                  <w:gridSpan w:val="3"/>
                  <w:vAlign w:val="center"/>
                </w:tcPr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1、施工现场全封闭围挡作业，围挡外观整洁、安全牢固，不得有破损，主次干道施工的全封闭围档高度不得低于2米，其他全封闭围档高度不得低于1.8米，现场必须设立警示标志。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2、施工现场悬挂公示牌，将有关施工、监督等信息进行公示。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3、施工现场不得随意堆放物料，应做到即用即清场。如有特殊情况需临时堆放物料的，需经批准。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4、</w:t>
                  </w: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  <w:shd w:val="clear" w:color="auto" w:fill="FFFFFF"/>
                    </w:rPr>
                    <w:t>挖掘城市绿地后，应恢复绿地原貌。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5、修剪树木的应保持树冠完好，树形美观。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6、施工现场加强管理，采取抑尘措施，湿法作业，防止扬尘污染。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7、</w:t>
                  </w: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  <w:shd w:val="clear" w:color="auto" w:fill="FFFFFF"/>
                    </w:rPr>
                    <w:t>挖掘城市绿地或树木后，泥土须及时清运不得污染路面；</w:t>
                  </w: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树木砍伐或修剪后树杈、枝条及树叶应及时清理。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8、移植城市树木后改为道路的, 应用砂石回填路基，路面是人行道板的，应用原道板同型号材质的道板对缝恢复路面；路面是沥青路面用同色沥青恢复，并压平于原路面等高。施工单位作业面回填时须通知园林部门和辖区执法大队现场察勘，路面恢复到位后再组织验收，一次验收不合格，责令整改，整改后验收再不合格，则由辖区执法局（分局、大队）进行行政处罚，并由项目建设单位另行聘请专业单位进行恢复，该施工单位将被列入施工失信企业名单。</w:t>
                  </w:r>
                </w:p>
                <w:p>
                  <w:pPr>
                    <w:tabs>
                      <w:tab w:val="left" w:pos="7549"/>
                    </w:tabs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9、移植城市树木应迁移到园林部门指定苗圃。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10、施工完成后，须办理验收手续。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11、工程保质期1年，在保质期内出现质量问题的，由申请单位负责恢复到位。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12、事中、事后接受辖区执法大队监管。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13、施工单位须谨慎施工，施工前应进行勘探，确定原有地下管线位置，并与相关管线单位取得联系，防止在施工过程中挖断或损坏地下原有管线，制定应急预案；如在施工过程中挖断或损坏地下原有管线，应立即向我局及相关管线单位报告，并积极抢修，迅速恢复使用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14、施工单位应合理预测工期，无特殊情况不得延期。</w:t>
                  </w:r>
                </w:p>
                <w:p>
                  <w:pPr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15、如遇重大活动，必须服从统一安排。</w:t>
                  </w:r>
                </w:p>
                <w:p>
                  <w:pPr>
                    <w:tabs>
                      <w:tab w:val="left" w:pos="7549"/>
                    </w:tabs>
                    <w:spacing w:line="200" w:lineRule="exac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</w:p>
                <w:p>
                  <w:pPr>
                    <w:tabs>
                      <w:tab w:val="left" w:pos="7549"/>
                    </w:tabs>
                    <w:spacing w:line="200" w:lineRule="exact"/>
                    <w:jc w:val="righ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  <w:t>年   月   日</w:t>
                  </w:r>
                </w:p>
                <w:p>
                  <w:pPr>
                    <w:tabs>
                      <w:tab w:val="left" w:pos="7549"/>
                    </w:tabs>
                    <w:spacing w:line="200" w:lineRule="exact"/>
                    <w:jc w:val="right"/>
                    <w:rPr>
                      <w:rFonts w:hint="eastAsia" w:ascii="仿宋_GB2312" w:hAnsi="仿宋_GB2312" w:eastAsia="仿宋_GB2312" w:cs="仿宋_GB2312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spacing w:line="440" w:lineRule="exact"/>
              <w:ind w:firstLine="5180" w:firstLineChars="1850"/>
              <w:jc w:val="right"/>
              <w:rPr>
                <w:rFonts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</w:tc>
      </w:tr>
    </w:tbl>
    <w:p>
      <w:pPr>
        <w:pStyle w:val="36"/>
        <w:ind w:firstLine="0" w:firstLineChars="0"/>
        <w:rPr>
          <w:rFonts w:hAnsi="宋体" w:cs="宋体"/>
        </w:rPr>
      </w:pPr>
    </w:p>
    <w:sectPr>
      <w:footerReference r:id="rId3" w:type="default"/>
      <w:pgSz w:w="11906" w:h="16838"/>
      <w:pgMar w:top="1587" w:right="1080" w:bottom="147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20B0504030602030204"/>
    <w:charset w:val="00"/>
    <w:family w:val="auto"/>
    <w:pitch w:val="default"/>
    <w:sig w:usb0="E00002FF" w:usb1="5000205B" w:usb2="00000000" w:usb3="00000000" w:csb0="2000009F" w:csb1="5601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7629947"/>
    </w:sdtPr>
    <w:sdtEndPr>
      <w:rPr>
        <w:rFonts w:ascii="宋体" w:hAnsi="宋体" w:eastAsia="宋体"/>
      </w:rPr>
    </w:sdtEndPr>
    <w:sdtContent>
      <w:p>
        <w:pPr>
          <w:pStyle w:val="9"/>
          <w:jc w:val="center"/>
          <w:rPr>
            <w:rFonts w:ascii="宋体" w:hAnsi="宋体" w:eastAsia="宋体"/>
          </w:rPr>
        </w:pPr>
        <w:r>
          <w:rPr>
            <w:rFonts w:ascii="宋体" w:hAnsi="宋体" w:eastAsia="宋体"/>
          </w:rPr>
          <w:fldChar w:fldCharType="begin"/>
        </w:r>
        <w:r>
          <w:rPr>
            <w:rFonts w:ascii="宋体" w:hAnsi="宋体" w:eastAsia="宋体"/>
          </w:rPr>
          <w:instrText xml:space="preserve">PAGE   \* MERGEFORMAT</w:instrText>
        </w:r>
        <w:r>
          <w:rPr>
            <w:rFonts w:ascii="宋体" w:hAnsi="宋体" w:eastAsia="宋体"/>
          </w:rPr>
          <w:fldChar w:fldCharType="separate"/>
        </w:r>
        <w:r>
          <w:rPr>
            <w:rFonts w:ascii="宋体" w:hAnsi="宋体" w:eastAsia="宋体"/>
            <w:lang w:val="zh-CN"/>
          </w:rPr>
          <w:t>2</w:t>
        </w:r>
        <w:r>
          <w:rPr>
            <w:rFonts w:ascii="宋体" w:hAnsi="宋体" w:eastAsia="宋体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342C2"/>
    <w:multiLevelType w:val="multilevel"/>
    <w:tmpl w:val="495342C2"/>
    <w:lvl w:ilvl="0" w:tentative="0">
      <w:start w:val="0"/>
      <w:numFmt w:val="ideographDigital"/>
      <w:suff w:val="nothing"/>
      <w:lvlText w:val="%1、"/>
      <w:lvlJc w:val="left"/>
      <w:pPr>
        <w:ind w:left="0" w:firstLine="0"/>
      </w:pPr>
      <w:rPr>
        <w:rFonts w:hint="eastAsia" w:eastAsia="黑体"/>
        <w:sz w:val="28"/>
      </w:rPr>
    </w:lvl>
    <w:lvl w:ilvl="1" w:tentative="0">
      <w:start w:val="1"/>
      <w:numFmt w:val="japaneseCounting"/>
      <w:pStyle w:val="63"/>
      <w:suff w:val="nothing"/>
      <w:lvlText w:val="（%2）"/>
      <w:lvlJc w:val="left"/>
      <w:pPr>
        <w:ind w:left="2040" w:firstLine="0"/>
      </w:pPr>
      <w:rPr>
        <w:rFonts w:hint="eastAsia" w:ascii="黑体" w:hAnsi="黑体" w:eastAsia="黑体"/>
        <w:lang w:val="en-US"/>
      </w:rPr>
    </w:lvl>
    <w:lvl w:ilvl="2" w:tentative="0">
      <w:start w:val="1"/>
      <w:numFmt w:val="lowerLetter"/>
      <w:lvlText w:val="(%3)"/>
      <w:lvlJc w:val="left"/>
      <w:pPr>
        <w:tabs>
          <w:tab w:val="left" w:pos="0"/>
        </w:tabs>
        <w:ind w:left="-288" w:hanging="432"/>
      </w:pPr>
      <w:rPr>
        <w:rFonts w:hint="eastAsia"/>
      </w:rPr>
    </w:lvl>
    <w:lvl w:ilvl="3" w:tentative="0">
      <w:start w:val="1"/>
      <w:numFmt w:val="lowerRoman"/>
      <w:lvlText w:val="(%4)"/>
      <w:lvlJc w:val="right"/>
      <w:pPr>
        <w:tabs>
          <w:tab w:val="left" w:pos="-144"/>
        </w:tabs>
        <w:ind w:left="-144" w:hanging="144"/>
      </w:pPr>
      <w:rPr>
        <w:rFonts w:hint="eastAsia"/>
      </w:rPr>
    </w:lvl>
    <w:lvl w:ilvl="4" w:tentative="0">
      <w:start w:val="1"/>
      <w:numFmt w:val="decimal"/>
      <w:lvlText w:val="%5)"/>
      <w:lvlJc w:val="left"/>
      <w:pPr>
        <w:tabs>
          <w:tab w:val="left" w:pos="0"/>
        </w:tabs>
        <w:ind w:left="0" w:hanging="432"/>
      </w:pPr>
      <w:rPr>
        <w:rFonts w:hint="eastAsia"/>
      </w:rPr>
    </w:lvl>
    <w:lvl w:ilvl="5" w:tentative="0">
      <w:start w:val="1"/>
      <w:numFmt w:val="decimal"/>
      <w:lvlRestart w:val="0"/>
      <w:suff w:val="nothing"/>
      <w:lvlText w:val="1%6　"/>
      <w:lvlJc w:val="left"/>
      <w:pPr>
        <w:ind w:left="-1008" w:firstLine="0"/>
      </w:pPr>
      <w:rPr>
        <w:rFonts w:hint="eastAsia" w:ascii="黑体" w:eastAsia="黑体"/>
      </w:rPr>
    </w:lvl>
    <w:lvl w:ilvl="6" w:tentative="0">
      <w:start w:val="1"/>
      <w:numFmt w:val="decimal"/>
      <w:suff w:val="nothing"/>
      <w:lvlText w:val="2%6%7　"/>
      <w:lvlJc w:val="left"/>
      <w:pPr>
        <w:ind w:left="0" w:firstLine="0"/>
      </w:pPr>
      <w:rPr>
        <w:rFonts w:hint="eastAsia" w:ascii="黑体" w:eastAsia="黑体"/>
      </w:rPr>
    </w:lvl>
    <w:lvl w:ilvl="7" w:tentative="0">
      <w:start w:val="1"/>
      <w:numFmt w:val="decimal"/>
      <w:suff w:val="nothing"/>
      <w:lvlText w:val="3%6%7%8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6"/>
        </w:tabs>
        <w:ind w:left="576" w:hanging="144"/>
      </w:pPr>
      <w:rPr>
        <w:rFonts w:hint="eastAsia"/>
      </w:rPr>
    </w:lvl>
  </w:abstractNum>
  <w:abstractNum w:abstractNumId="1">
    <w:nsid w:val="556F5750"/>
    <w:multiLevelType w:val="multilevel"/>
    <w:tmpl w:val="556F5750"/>
    <w:lvl w:ilvl="0" w:tentative="0">
      <w:start w:val="1"/>
      <w:numFmt w:val="decimal"/>
      <w:pStyle w:val="45"/>
      <w:lvlText w:val="（%1）"/>
      <w:lvlJc w:val="left"/>
      <w:pPr>
        <w:ind w:left="1402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pStyle w:val="56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TQzYTU4ODAzYzFlYTNkYjdmYzUxMTJiNzllNDYifQ=="/>
  </w:docVars>
  <w:rsids>
    <w:rsidRoot w:val="003F59EF"/>
    <w:rsid w:val="00000EFB"/>
    <w:rsid w:val="000022FE"/>
    <w:rsid w:val="00004254"/>
    <w:rsid w:val="00006A3E"/>
    <w:rsid w:val="0002074F"/>
    <w:rsid w:val="00023A9C"/>
    <w:rsid w:val="000309D9"/>
    <w:rsid w:val="00035079"/>
    <w:rsid w:val="00036D36"/>
    <w:rsid w:val="00041715"/>
    <w:rsid w:val="00041AD6"/>
    <w:rsid w:val="000449E2"/>
    <w:rsid w:val="00046DF4"/>
    <w:rsid w:val="00046E5C"/>
    <w:rsid w:val="000502F8"/>
    <w:rsid w:val="00053C2B"/>
    <w:rsid w:val="00053E71"/>
    <w:rsid w:val="00056326"/>
    <w:rsid w:val="00061DBB"/>
    <w:rsid w:val="00064952"/>
    <w:rsid w:val="00066FC9"/>
    <w:rsid w:val="000760FA"/>
    <w:rsid w:val="0008021F"/>
    <w:rsid w:val="00084A1F"/>
    <w:rsid w:val="000908B8"/>
    <w:rsid w:val="000933D1"/>
    <w:rsid w:val="00095042"/>
    <w:rsid w:val="00096020"/>
    <w:rsid w:val="00097AC3"/>
    <w:rsid w:val="000A2085"/>
    <w:rsid w:val="000A29F5"/>
    <w:rsid w:val="000B4D7D"/>
    <w:rsid w:val="000B52F1"/>
    <w:rsid w:val="000B5ED6"/>
    <w:rsid w:val="000C178C"/>
    <w:rsid w:val="000C2186"/>
    <w:rsid w:val="000C6DFB"/>
    <w:rsid w:val="000D68E7"/>
    <w:rsid w:val="000D707A"/>
    <w:rsid w:val="000D7A42"/>
    <w:rsid w:val="000E25EE"/>
    <w:rsid w:val="000E4881"/>
    <w:rsid w:val="000E78B9"/>
    <w:rsid w:val="000F0763"/>
    <w:rsid w:val="000F1446"/>
    <w:rsid w:val="000F70B3"/>
    <w:rsid w:val="00100930"/>
    <w:rsid w:val="00100FFE"/>
    <w:rsid w:val="0010567C"/>
    <w:rsid w:val="00111C0C"/>
    <w:rsid w:val="00111F03"/>
    <w:rsid w:val="00120716"/>
    <w:rsid w:val="00122A7D"/>
    <w:rsid w:val="00123B56"/>
    <w:rsid w:val="00126BD9"/>
    <w:rsid w:val="001316B2"/>
    <w:rsid w:val="001355F8"/>
    <w:rsid w:val="00137CA9"/>
    <w:rsid w:val="001404C8"/>
    <w:rsid w:val="00144C66"/>
    <w:rsid w:val="00145E4C"/>
    <w:rsid w:val="00147E94"/>
    <w:rsid w:val="00151553"/>
    <w:rsid w:val="00151C89"/>
    <w:rsid w:val="00155DF2"/>
    <w:rsid w:val="001568F5"/>
    <w:rsid w:val="001654B3"/>
    <w:rsid w:val="001654FD"/>
    <w:rsid w:val="00166C29"/>
    <w:rsid w:val="00172CDE"/>
    <w:rsid w:val="00173CFB"/>
    <w:rsid w:val="0017489A"/>
    <w:rsid w:val="001751F2"/>
    <w:rsid w:val="00181452"/>
    <w:rsid w:val="00181AF5"/>
    <w:rsid w:val="00186FBC"/>
    <w:rsid w:val="001936E3"/>
    <w:rsid w:val="00196D00"/>
    <w:rsid w:val="001A0A70"/>
    <w:rsid w:val="001A30B6"/>
    <w:rsid w:val="001A38FF"/>
    <w:rsid w:val="001A3A77"/>
    <w:rsid w:val="001A45AD"/>
    <w:rsid w:val="001A48FA"/>
    <w:rsid w:val="001A5875"/>
    <w:rsid w:val="001B1F26"/>
    <w:rsid w:val="001B32F6"/>
    <w:rsid w:val="001B5452"/>
    <w:rsid w:val="001D6AB9"/>
    <w:rsid w:val="001E0A34"/>
    <w:rsid w:val="001E5D2A"/>
    <w:rsid w:val="001F0916"/>
    <w:rsid w:val="001F42BD"/>
    <w:rsid w:val="00200599"/>
    <w:rsid w:val="002048FA"/>
    <w:rsid w:val="00212E96"/>
    <w:rsid w:val="0021443F"/>
    <w:rsid w:val="00217EBF"/>
    <w:rsid w:val="00221E41"/>
    <w:rsid w:val="00224E20"/>
    <w:rsid w:val="00225DFC"/>
    <w:rsid w:val="002276EC"/>
    <w:rsid w:val="002366E9"/>
    <w:rsid w:val="002400E8"/>
    <w:rsid w:val="00256760"/>
    <w:rsid w:val="0026322B"/>
    <w:rsid w:val="0026360B"/>
    <w:rsid w:val="00264DDB"/>
    <w:rsid w:val="00265806"/>
    <w:rsid w:val="002725AF"/>
    <w:rsid w:val="00275F9C"/>
    <w:rsid w:val="00276FB1"/>
    <w:rsid w:val="00283D94"/>
    <w:rsid w:val="00285BAA"/>
    <w:rsid w:val="0029269A"/>
    <w:rsid w:val="00292C98"/>
    <w:rsid w:val="002A35E4"/>
    <w:rsid w:val="002A3E05"/>
    <w:rsid w:val="002A4BA4"/>
    <w:rsid w:val="002A4C6D"/>
    <w:rsid w:val="002A6A59"/>
    <w:rsid w:val="002B0438"/>
    <w:rsid w:val="002B5D73"/>
    <w:rsid w:val="002B7B4E"/>
    <w:rsid w:val="002D1B97"/>
    <w:rsid w:val="002D7159"/>
    <w:rsid w:val="00300046"/>
    <w:rsid w:val="003004CA"/>
    <w:rsid w:val="0030382A"/>
    <w:rsid w:val="00310809"/>
    <w:rsid w:val="0031191E"/>
    <w:rsid w:val="00313392"/>
    <w:rsid w:val="00317068"/>
    <w:rsid w:val="0031799E"/>
    <w:rsid w:val="00321033"/>
    <w:rsid w:val="00327B0D"/>
    <w:rsid w:val="003368B0"/>
    <w:rsid w:val="0033783E"/>
    <w:rsid w:val="00344F4B"/>
    <w:rsid w:val="00347C84"/>
    <w:rsid w:val="0035444E"/>
    <w:rsid w:val="00355C3D"/>
    <w:rsid w:val="003646B8"/>
    <w:rsid w:val="00364C78"/>
    <w:rsid w:val="00364D31"/>
    <w:rsid w:val="00373E22"/>
    <w:rsid w:val="00380475"/>
    <w:rsid w:val="0038184E"/>
    <w:rsid w:val="00382847"/>
    <w:rsid w:val="0039193F"/>
    <w:rsid w:val="003A13F6"/>
    <w:rsid w:val="003A6E13"/>
    <w:rsid w:val="003B1237"/>
    <w:rsid w:val="003B5CD3"/>
    <w:rsid w:val="003C1A47"/>
    <w:rsid w:val="003D0251"/>
    <w:rsid w:val="003D0C63"/>
    <w:rsid w:val="003D0FA1"/>
    <w:rsid w:val="003D1521"/>
    <w:rsid w:val="003D36D7"/>
    <w:rsid w:val="003E0DD2"/>
    <w:rsid w:val="003E1CE4"/>
    <w:rsid w:val="003E7DF4"/>
    <w:rsid w:val="003F0FB6"/>
    <w:rsid w:val="003F2158"/>
    <w:rsid w:val="003F2ED6"/>
    <w:rsid w:val="003F4454"/>
    <w:rsid w:val="003F59EF"/>
    <w:rsid w:val="00402BF5"/>
    <w:rsid w:val="00406A87"/>
    <w:rsid w:val="00413C21"/>
    <w:rsid w:val="00414465"/>
    <w:rsid w:val="00417102"/>
    <w:rsid w:val="00424B75"/>
    <w:rsid w:val="004328B4"/>
    <w:rsid w:val="00433984"/>
    <w:rsid w:val="0043607C"/>
    <w:rsid w:val="00442CD4"/>
    <w:rsid w:val="004476AF"/>
    <w:rsid w:val="00456AB3"/>
    <w:rsid w:val="00456EAA"/>
    <w:rsid w:val="004613C4"/>
    <w:rsid w:val="00472CAE"/>
    <w:rsid w:val="00472D20"/>
    <w:rsid w:val="00473770"/>
    <w:rsid w:val="00474CFB"/>
    <w:rsid w:val="0047500F"/>
    <w:rsid w:val="00476AC0"/>
    <w:rsid w:val="00480CD1"/>
    <w:rsid w:val="004849EE"/>
    <w:rsid w:val="004B05C3"/>
    <w:rsid w:val="004C258F"/>
    <w:rsid w:val="004C368D"/>
    <w:rsid w:val="004C420D"/>
    <w:rsid w:val="004C4D6D"/>
    <w:rsid w:val="004C6B98"/>
    <w:rsid w:val="004C6F2F"/>
    <w:rsid w:val="004D380B"/>
    <w:rsid w:val="004D3DC2"/>
    <w:rsid w:val="004D518E"/>
    <w:rsid w:val="004E09A9"/>
    <w:rsid w:val="004E6A1F"/>
    <w:rsid w:val="004F0B6E"/>
    <w:rsid w:val="0050027B"/>
    <w:rsid w:val="0050191C"/>
    <w:rsid w:val="00511B6E"/>
    <w:rsid w:val="0051328F"/>
    <w:rsid w:val="005145C1"/>
    <w:rsid w:val="005154D8"/>
    <w:rsid w:val="00517838"/>
    <w:rsid w:val="00520BAF"/>
    <w:rsid w:val="005238E3"/>
    <w:rsid w:val="00524166"/>
    <w:rsid w:val="00525D38"/>
    <w:rsid w:val="0053124F"/>
    <w:rsid w:val="00533D7A"/>
    <w:rsid w:val="00534CF7"/>
    <w:rsid w:val="005379E3"/>
    <w:rsid w:val="00545ABB"/>
    <w:rsid w:val="00545E9B"/>
    <w:rsid w:val="005472A6"/>
    <w:rsid w:val="00565ED3"/>
    <w:rsid w:val="005814F7"/>
    <w:rsid w:val="0058253A"/>
    <w:rsid w:val="00582A0A"/>
    <w:rsid w:val="00586675"/>
    <w:rsid w:val="00586FD2"/>
    <w:rsid w:val="00587BB1"/>
    <w:rsid w:val="00590BB1"/>
    <w:rsid w:val="005922B3"/>
    <w:rsid w:val="00595770"/>
    <w:rsid w:val="005A1C06"/>
    <w:rsid w:val="005A6287"/>
    <w:rsid w:val="005A7F83"/>
    <w:rsid w:val="005B0CE8"/>
    <w:rsid w:val="005B31DA"/>
    <w:rsid w:val="005B670E"/>
    <w:rsid w:val="005C0B2D"/>
    <w:rsid w:val="005C1B06"/>
    <w:rsid w:val="005C2D49"/>
    <w:rsid w:val="005C5017"/>
    <w:rsid w:val="005C5B91"/>
    <w:rsid w:val="005C5F7A"/>
    <w:rsid w:val="005D07FC"/>
    <w:rsid w:val="005D1E1D"/>
    <w:rsid w:val="005D2280"/>
    <w:rsid w:val="005D7CF6"/>
    <w:rsid w:val="005F1BE9"/>
    <w:rsid w:val="005F4631"/>
    <w:rsid w:val="00604928"/>
    <w:rsid w:val="00610795"/>
    <w:rsid w:val="00621B9D"/>
    <w:rsid w:val="00621D69"/>
    <w:rsid w:val="006269FB"/>
    <w:rsid w:val="006276B2"/>
    <w:rsid w:val="0062782E"/>
    <w:rsid w:val="006335B2"/>
    <w:rsid w:val="00637F79"/>
    <w:rsid w:val="006556DD"/>
    <w:rsid w:val="00664951"/>
    <w:rsid w:val="006705DD"/>
    <w:rsid w:val="00670986"/>
    <w:rsid w:val="00671BE8"/>
    <w:rsid w:val="006910F5"/>
    <w:rsid w:val="006A1E76"/>
    <w:rsid w:val="006A602F"/>
    <w:rsid w:val="006B2D23"/>
    <w:rsid w:val="006C35A4"/>
    <w:rsid w:val="006D2951"/>
    <w:rsid w:val="006D6342"/>
    <w:rsid w:val="006E13D8"/>
    <w:rsid w:val="006E3843"/>
    <w:rsid w:val="006F08E2"/>
    <w:rsid w:val="006F1530"/>
    <w:rsid w:val="006F1D67"/>
    <w:rsid w:val="006F5649"/>
    <w:rsid w:val="00702E55"/>
    <w:rsid w:val="007062E6"/>
    <w:rsid w:val="007129E4"/>
    <w:rsid w:val="007167F8"/>
    <w:rsid w:val="00716D74"/>
    <w:rsid w:val="00726533"/>
    <w:rsid w:val="007304D9"/>
    <w:rsid w:val="00730C33"/>
    <w:rsid w:val="00731267"/>
    <w:rsid w:val="00731407"/>
    <w:rsid w:val="007318A4"/>
    <w:rsid w:val="007321A4"/>
    <w:rsid w:val="0073297A"/>
    <w:rsid w:val="0073798E"/>
    <w:rsid w:val="00742FD2"/>
    <w:rsid w:val="00743C49"/>
    <w:rsid w:val="0075006D"/>
    <w:rsid w:val="00752647"/>
    <w:rsid w:val="00761367"/>
    <w:rsid w:val="007629EC"/>
    <w:rsid w:val="007660BA"/>
    <w:rsid w:val="00770BDB"/>
    <w:rsid w:val="00773F13"/>
    <w:rsid w:val="00776B68"/>
    <w:rsid w:val="00777370"/>
    <w:rsid w:val="007801E3"/>
    <w:rsid w:val="0078171A"/>
    <w:rsid w:val="0078659F"/>
    <w:rsid w:val="007946D6"/>
    <w:rsid w:val="00796790"/>
    <w:rsid w:val="007A0A0B"/>
    <w:rsid w:val="007B06C4"/>
    <w:rsid w:val="007B7FA3"/>
    <w:rsid w:val="007D1803"/>
    <w:rsid w:val="007D1F33"/>
    <w:rsid w:val="007D2F69"/>
    <w:rsid w:val="007D51B0"/>
    <w:rsid w:val="007D71D0"/>
    <w:rsid w:val="007F4FF6"/>
    <w:rsid w:val="007F5885"/>
    <w:rsid w:val="00802864"/>
    <w:rsid w:val="00806F17"/>
    <w:rsid w:val="00820D2C"/>
    <w:rsid w:val="008229DE"/>
    <w:rsid w:val="00824BD3"/>
    <w:rsid w:val="0082571F"/>
    <w:rsid w:val="0082636A"/>
    <w:rsid w:val="008375E0"/>
    <w:rsid w:val="00841289"/>
    <w:rsid w:val="008427AE"/>
    <w:rsid w:val="00842EF4"/>
    <w:rsid w:val="00847662"/>
    <w:rsid w:val="00850343"/>
    <w:rsid w:val="0085078B"/>
    <w:rsid w:val="00851238"/>
    <w:rsid w:val="0085597B"/>
    <w:rsid w:val="00857B86"/>
    <w:rsid w:val="008626D5"/>
    <w:rsid w:val="00863F10"/>
    <w:rsid w:val="0086701D"/>
    <w:rsid w:val="00873D6D"/>
    <w:rsid w:val="00875A6C"/>
    <w:rsid w:val="00886481"/>
    <w:rsid w:val="008A23DA"/>
    <w:rsid w:val="008A5B4A"/>
    <w:rsid w:val="008A7853"/>
    <w:rsid w:val="008B4C2B"/>
    <w:rsid w:val="008B595D"/>
    <w:rsid w:val="008B724A"/>
    <w:rsid w:val="008C1D0C"/>
    <w:rsid w:val="008C321C"/>
    <w:rsid w:val="008D7CBD"/>
    <w:rsid w:val="008E14CD"/>
    <w:rsid w:val="008E2464"/>
    <w:rsid w:val="008E3FEE"/>
    <w:rsid w:val="008F294E"/>
    <w:rsid w:val="008F2F05"/>
    <w:rsid w:val="008F6E24"/>
    <w:rsid w:val="00903D22"/>
    <w:rsid w:val="00910D33"/>
    <w:rsid w:val="00916143"/>
    <w:rsid w:val="009209F7"/>
    <w:rsid w:val="00924CA8"/>
    <w:rsid w:val="009277D2"/>
    <w:rsid w:val="009311F7"/>
    <w:rsid w:val="00933E2B"/>
    <w:rsid w:val="009362C9"/>
    <w:rsid w:val="0094090A"/>
    <w:rsid w:val="0094577B"/>
    <w:rsid w:val="00952294"/>
    <w:rsid w:val="00953406"/>
    <w:rsid w:val="0095477A"/>
    <w:rsid w:val="009561CD"/>
    <w:rsid w:val="0096004F"/>
    <w:rsid w:val="009613C8"/>
    <w:rsid w:val="00962185"/>
    <w:rsid w:val="00971128"/>
    <w:rsid w:val="00971280"/>
    <w:rsid w:val="00972E6E"/>
    <w:rsid w:val="009740B1"/>
    <w:rsid w:val="00974193"/>
    <w:rsid w:val="00975B73"/>
    <w:rsid w:val="009809A5"/>
    <w:rsid w:val="009907B7"/>
    <w:rsid w:val="009908EB"/>
    <w:rsid w:val="00996604"/>
    <w:rsid w:val="009A598C"/>
    <w:rsid w:val="009A6971"/>
    <w:rsid w:val="009B7638"/>
    <w:rsid w:val="009C0618"/>
    <w:rsid w:val="009C2395"/>
    <w:rsid w:val="009C619C"/>
    <w:rsid w:val="009D4F25"/>
    <w:rsid w:val="009D602A"/>
    <w:rsid w:val="009D72A4"/>
    <w:rsid w:val="009D78A8"/>
    <w:rsid w:val="009F20F2"/>
    <w:rsid w:val="009F4890"/>
    <w:rsid w:val="00A01551"/>
    <w:rsid w:val="00A02734"/>
    <w:rsid w:val="00A24DE4"/>
    <w:rsid w:val="00A26D90"/>
    <w:rsid w:val="00A32657"/>
    <w:rsid w:val="00A35B73"/>
    <w:rsid w:val="00A35D4F"/>
    <w:rsid w:val="00A37433"/>
    <w:rsid w:val="00A436AA"/>
    <w:rsid w:val="00A461D3"/>
    <w:rsid w:val="00A57D34"/>
    <w:rsid w:val="00A6088B"/>
    <w:rsid w:val="00A71AE2"/>
    <w:rsid w:val="00A73240"/>
    <w:rsid w:val="00A73D1F"/>
    <w:rsid w:val="00A7711F"/>
    <w:rsid w:val="00AA406D"/>
    <w:rsid w:val="00AA4567"/>
    <w:rsid w:val="00AA4692"/>
    <w:rsid w:val="00AA49C5"/>
    <w:rsid w:val="00AB4B43"/>
    <w:rsid w:val="00AD502E"/>
    <w:rsid w:val="00AD7CEC"/>
    <w:rsid w:val="00AE40BE"/>
    <w:rsid w:val="00AE4669"/>
    <w:rsid w:val="00AF03EF"/>
    <w:rsid w:val="00AF3AC3"/>
    <w:rsid w:val="00AF4F3E"/>
    <w:rsid w:val="00B042AB"/>
    <w:rsid w:val="00B10871"/>
    <w:rsid w:val="00B11084"/>
    <w:rsid w:val="00B1333A"/>
    <w:rsid w:val="00B13BB8"/>
    <w:rsid w:val="00B14127"/>
    <w:rsid w:val="00B20F68"/>
    <w:rsid w:val="00B25B47"/>
    <w:rsid w:val="00B27182"/>
    <w:rsid w:val="00B27A3D"/>
    <w:rsid w:val="00B27C49"/>
    <w:rsid w:val="00B4215A"/>
    <w:rsid w:val="00B421C7"/>
    <w:rsid w:val="00B428AE"/>
    <w:rsid w:val="00B53013"/>
    <w:rsid w:val="00B55720"/>
    <w:rsid w:val="00B61943"/>
    <w:rsid w:val="00B66C89"/>
    <w:rsid w:val="00B76655"/>
    <w:rsid w:val="00B77622"/>
    <w:rsid w:val="00B81CBF"/>
    <w:rsid w:val="00B83E9B"/>
    <w:rsid w:val="00B840FA"/>
    <w:rsid w:val="00B87F2F"/>
    <w:rsid w:val="00B9059E"/>
    <w:rsid w:val="00B91727"/>
    <w:rsid w:val="00B926C2"/>
    <w:rsid w:val="00B9403D"/>
    <w:rsid w:val="00BA30B2"/>
    <w:rsid w:val="00BA3B50"/>
    <w:rsid w:val="00BB1A11"/>
    <w:rsid w:val="00BB3CAC"/>
    <w:rsid w:val="00BB481A"/>
    <w:rsid w:val="00BB7395"/>
    <w:rsid w:val="00BD4FE0"/>
    <w:rsid w:val="00BE4C1E"/>
    <w:rsid w:val="00BF124A"/>
    <w:rsid w:val="00BF2B22"/>
    <w:rsid w:val="00BF6EEA"/>
    <w:rsid w:val="00C0257E"/>
    <w:rsid w:val="00C02680"/>
    <w:rsid w:val="00C055B7"/>
    <w:rsid w:val="00C06F61"/>
    <w:rsid w:val="00C07108"/>
    <w:rsid w:val="00C11BFD"/>
    <w:rsid w:val="00C14D6D"/>
    <w:rsid w:val="00C1735B"/>
    <w:rsid w:val="00C24A6C"/>
    <w:rsid w:val="00C31571"/>
    <w:rsid w:val="00C3484C"/>
    <w:rsid w:val="00C40326"/>
    <w:rsid w:val="00C41EDB"/>
    <w:rsid w:val="00C46490"/>
    <w:rsid w:val="00C473A4"/>
    <w:rsid w:val="00C50DC7"/>
    <w:rsid w:val="00C51D77"/>
    <w:rsid w:val="00C610D0"/>
    <w:rsid w:val="00C661F8"/>
    <w:rsid w:val="00C679F1"/>
    <w:rsid w:val="00C71E08"/>
    <w:rsid w:val="00C757CC"/>
    <w:rsid w:val="00C77256"/>
    <w:rsid w:val="00C77A86"/>
    <w:rsid w:val="00C90EBE"/>
    <w:rsid w:val="00C93EBD"/>
    <w:rsid w:val="00C95E09"/>
    <w:rsid w:val="00CA0579"/>
    <w:rsid w:val="00CB049C"/>
    <w:rsid w:val="00CB38CB"/>
    <w:rsid w:val="00CB587E"/>
    <w:rsid w:val="00CB587F"/>
    <w:rsid w:val="00CB66F4"/>
    <w:rsid w:val="00CC0906"/>
    <w:rsid w:val="00CC3A28"/>
    <w:rsid w:val="00CC48C7"/>
    <w:rsid w:val="00CC654C"/>
    <w:rsid w:val="00CC6AE0"/>
    <w:rsid w:val="00CE33E8"/>
    <w:rsid w:val="00CE5E18"/>
    <w:rsid w:val="00CF1EEC"/>
    <w:rsid w:val="00CF3BF1"/>
    <w:rsid w:val="00CF44AC"/>
    <w:rsid w:val="00D021D9"/>
    <w:rsid w:val="00D071BE"/>
    <w:rsid w:val="00D15311"/>
    <w:rsid w:val="00D22C85"/>
    <w:rsid w:val="00D23691"/>
    <w:rsid w:val="00D23A1B"/>
    <w:rsid w:val="00D2639D"/>
    <w:rsid w:val="00D30D9C"/>
    <w:rsid w:val="00D329AA"/>
    <w:rsid w:val="00D33705"/>
    <w:rsid w:val="00D4576D"/>
    <w:rsid w:val="00D47B5E"/>
    <w:rsid w:val="00D5116D"/>
    <w:rsid w:val="00D51600"/>
    <w:rsid w:val="00D54DE2"/>
    <w:rsid w:val="00D55822"/>
    <w:rsid w:val="00D56B12"/>
    <w:rsid w:val="00D607C4"/>
    <w:rsid w:val="00D61A4E"/>
    <w:rsid w:val="00D73273"/>
    <w:rsid w:val="00D73985"/>
    <w:rsid w:val="00D75416"/>
    <w:rsid w:val="00D76DE8"/>
    <w:rsid w:val="00D8768A"/>
    <w:rsid w:val="00D91335"/>
    <w:rsid w:val="00D93924"/>
    <w:rsid w:val="00D9504F"/>
    <w:rsid w:val="00DA3C37"/>
    <w:rsid w:val="00DA4E8A"/>
    <w:rsid w:val="00DA764D"/>
    <w:rsid w:val="00DB33BD"/>
    <w:rsid w:val="00DB38B5"/>
    <w:rsid w:val="00DB56BE"/>
    <w:rsid w:val="00DB6180"/>
    <w:rsid w:val="00DB7028"/>
    <w:rsid w:val="00DC04ED"/>
    <w:rsid w:val="00DC43C9"/>
    <w:rsid w:val="00DD21EE"/>
    <w:rsid w:val="00DD2710"/>
    <w:rsid w:val="00DE3509"/>
    <w:rsid w:val="00DE3F79"/>
    <w:rsid w:val="00DE74BB"/>
    <w:rsid w:val="00DF09E4"/>
    <w:rsid w:val="00DF5C20"/>
    <w:rsid w:val="00DF74A5"/>
    <w:rsid w:val="00E04FFF"/>
    <w:rsid w:val="00E1237A"/>
    <w:rsid w:val="00E13C4A"/>
    <w:rsid w:val="00E24AE6"/>
    <w:rsid w:val="00E25DB9"/>
    <w:rsid w:val="00E27577"/>
    <w:rsid w:val="00E406EF"/>
    <w:rsid w:val="00E445FA"/>
    <w:rsid w:val="00E447B8"/>
    <w:rsid w:val="00E462D0"/>
    <w:rsid w:val="00E47B05"/>
    <w:rsid w:val="00E50819"/>
    <w:rsid w:val="00E645D0"/>
    <w:rsid w:val="00E66B73"/>
    <w:rsid w:val="00E67A9E"/>
    <w:rsid w:val="00E703E0"/>
    <w:rsid w:val="00E71BDA"/>
    <w:rsid w:val="00E841B2"/>
    <w:rsid w:val="00E87CBE"/>
    <w:rsid w:val="00E97748"/>
    <w:rsid w:val="00EA1CEF"/>
    <w:rsid w:val="00EA5BAC"/>
    <w:rsid w:val="00EB1F12"/>
    <w:rsid w:val="00EC2663"/>
    <w:rsid w:val="00EC5390"/>
    <w:rsid w:val="00EC70F9"/>
    <w:rsid w:val="00ED0C33"/>
    <w:rsid w:val="00ED5CA6"/>
    <w:rsid w:val="00EE4131"/>
    <w:rsid w:val="00EF099A"/>
    <w:rsid w:val="00EF2AE7"/>
    <w:rsid w:val="00EF3185"/>
    <w:rsid w:val="00F06EDB"/>
    <w:rsid w:val="00F157D9"/>
    <w:rsid w:val="00F16FA3"/>
    <w:rsid w:val="00F277EA"/>
    <w:rsid w:val="00F31982"/>
    <w:rsid w:val="00F41A06"/>
    <w:rsid w:val="00F50A1A"/>
    <w:rsid w:val="00F56CEC"/>
    <w:rsid w:val="00F663C8"/>
    <w:rsid w:val="00F66BED"/>
    <w:rsid w:val="00F724C7"/>
    <w:rsid w:val="00F76C9E"/>
    <w:rsid w:val="00F77581"/>
    <w:rsid w:val="00F8079E"/>
    <w:rsid w:val="00F9253B"/>
    <w:rsid w:val="00F9408C"/>
    <w:rsid w:val="00F95775"/>
    <w:rsid w:val="00F97206"/>
    <w:rsid w:val="00FA0AD6"/>
    <w:rsid w:val="00FA328D"/>
    <w:rsid w:val="00FA4214"/>
    <w:rsid w:val="00FB2565"/>
    <w:rsid w:val="00FC0F08"/>
    <w:rsid w:val="00FC1560"/>
    <w:rsid w:val="00FC2D96"/>
    <w:rsid w:val="00FC3B03"/>
    <w:rsid w:val="00FD4021"/>
    <w:rsid w:val="00FD6A49"/>
    <w:rsid w:val="00FD7DA3"/>
    <w:rsid w:val="00FF05C6"/>
    <w:rsid w:val="00FF2640"/>
    <w:rsid w:val="02262533"/>
    <w:rsid w:val="06D81837"/>
    <w:rsid w:val="113656B6"/>
    <w:rsid w:val="12AB39B1"/>
    <w:rsid w:val="1B0A610B"/>
    <w:rsid w:val="1BBB9459"/>
    <w:rsid w:val="1E054A1A"/>
    <w:rsid w:val="1F1E621C"/>
    <w:rsid w:val="22BB4F56"/>
    <w:rsid w:val="2DB8464D"/>
    <w:rsid w:val="2FC26FC7"/>
    <w:rsid w:val="31202624"/>
    <w:rsid w:val="31F655A8"/>
    <w:rsid w:val="33C03F99"/>
    <w:rsid w:val="349334CE"/>
    <w:rsid w:val="3FE366BC"/>
    <w:rsid w:val="44DE73B5"/>
    <w:rsid w:val="49E0593F"/>
    <w:rsid w:val="4B5903DF"/>
    <w:rsid w:val="4F5C67F7"/>
    <w:rsid w:val="50FE4B44"/>
    <w:rsid w:val="5366692D"/>
    <w:rsid w:val="53930165"/>
    <w:rsid w:val="563D4A40"/>
    <w:rsid w:val="56A57889"/>
    <w:rsid w:val="57945C71"/>
    <w:rsid w:val="587D52F8"/>
    <w:rsid w:val="5A7728B9"/>
    <w:rsid w:val="61D63DEC"/>
    <w:rsid w:val="62A5091C"/>
    <w:rsid w:val="6FB25A93"/>
    <w:rsid w:val="70200E36"/>
    <w:rsid w:val="73353294"/>
    <w:rsid w:val="741309B3"/>
    <w:rsid w:val="74513E89"/>
    <w:rsid w:val="76FD1FAE"/>
    <w:rsid w:val="77DEF62A"/>
    <w:rsid w:val="77F1328E"/>
    <w:rsid w:val="78293DF3"/>
    <w:rsid w:val="78BF0875"/>
    <w:rsid w:val="79BE5A70"/>
    <w:rsid w:val="7FB53871"/>
    <w:rsid w:val="86F776F9"/>
    <w:rsid w:val="AF5D8DF6"/>
    <w:rsid w:val="D0386DC3"/>
    <w:rsid w:val="F6FFE585"/>
    <w:rsid w:val="FDADEE64"/>
    <w:rsid w:val="FEC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59"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37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left" w:pos="420"/>
        <w:tab w:val="right" w:leader="dot" w:pos="9345"/>
      </w:tabs>
    </w:pPr>
    <w:rPr>
      <w:rFonts w:asciiTheme="majorEastAsia" w:hAnsiTheme="majorEastAsia" w:eastAsiaTheme="majorEastAsia" w:cstheme="minorEastAsia"/>
      <w:b/>
    </w:rPr>
  </w:style>
  <w:style w:type="paragraph" w:styleId="12">
    <w:name w:val="footnote text"/>
    <w:basedOn w:val="1"/>
    <w:link w:val="6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6">
    <w:name w:val="annotation subject"/>
    <w:basedOn w:val="5"/>
    <w:next w:val="5"/>
    <w:link w:val="60"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  <w:rPr>
      <w:rFonts w:ascii="Times New Roman" w:hAnsi="Times New Roman" w:eastAsia="宋体"/>
      <w:sz w:val="18"/>
      <w:lang w:val="en-US" w:eastAsia="en-US" w:bidi="ar-SA"/>
    </w:rPr>
  </w:style>
  <w:style w:type="character" w:styleId="22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19"/>
    <w:unhideWhenUsed/>
    <w:qFormat/>
    <w:uiPriority w:val="99"/>
    <w:rPr>
      <w:sz w:val="21"/>
      <w:szCs w:val="21"/>
    </w:rPr>
  </w:style>
  <w:style w:type="character" w:styleId="24">
    <w:name w:val="footnote reference"/>
    <w:basedOn w:val="19"/>
    <w:unhideWhenUsed/>
    <w:qFormat/>
    <w:uiPriority w:val="99"/>
    <w:rPr>
      <w:vertAlign w:val="superscript"/>
    </w:rPr>
  </w:style>
  <w:style w:type="character" w:customStyle="1" w:styleId="25">
    <w:name w:val="页眉 Char"/>
    <w:basedOn w:val="19"/>
    <w:link w:val="10"/>
    <w:qFormat/>
    <w:uiPriority w:val="99"/>
    <w:rPr>
      <w:sz w:val="18"/>
      <w:szCs w:val="18"/>
    </w:rPr>
  </w:style>
  <w:style w:type="character" w:customStyle="1" w:styleId="26">
    <w:name w:val="页脚 Char"/>
    <w:basedOn w:val="19"/>
    <w:link w:val="9"/>
    <w:qFormat/>
    <w:uiPriority w:val="99"/>
    <w:rPr>
      <w:sz w:val="18"/>
      <w:szCs w:val="18"/>
    </w:rPr>
  </w:style>
  <w:style w:type="character" w:customStyle="1" w:styleId="27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8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标题 3 Char"/>
    <w:basedOn w:val="19"/>
    <w:link w:val="4"/>
    <w:semiHidden/>
    <w:qFormat/>
    <w:uiPriority w:val="9"/>
    <w:rPr>
      <w:b/>
      <w:bCs/>
      <w:sz w:val="32"/>
      <w:szCs w:val="32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paragraph" w:customStyle="1" w:styleId="31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32">
    <w:name w:val="批注框文本 Char"/>
    <w:basedOn w:val="19"/>
    <w:link w:val="8"/>
    <w:semiHidden/>
    <w:qFormat/>
    <w:uiPriority w:val="99"/>
    <w:rPr>
      <w:sz w:val="18"/>
      <w:szCs w:val="18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34">
    <w:name w:val="标题 Char"/>
    <w:basedOn w:val="19"/>
    <w:link w:val="1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35">
    <w:name w:val="一级条标题"/>
    <w:next w:val="36"/>
    <w:qFormat/>
    <w:uiPriority w:val="0"/>
    <w:p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7">
    <w:name w:val="日期 Char"/>
    <w:basedOn w:val="19"/>
    <w:link w:val="7"/>
    <w:semiHidden/>
    <w:qFormat/>
    <w:uiPriority w:val="99"/>
  </w:style>
  <w:style w:type="paragraph" w:customStyle="1" w:styleId="38">
    <w:name w:val="章标题"/>
    <w:next w:val="36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9">
    <w:name w:val="二级条标题"/>
    <w:basedOn w:val="35"/>
    <w:next w:val="36"/>
    <w:qFormat/>
    <w:uiPriority w:val="0"/>
    <w:pPr>
      <w:ind w:left="840"/>
      <w:outlineLvl w:val="3"/>
    </w:pPr>
  </w:style>
  <w:style w:type="paragraph" w:customStyle="1" w:styleId="40">
    <w:name w:val="三级条标题"/>
    <w:basedOn w:val="39"/>
    <w:next w:val="36"/>
    <w:qFormat/>
    <w:uiPriority w:val="0"/>
    <w:pPr>
      <w:ind w:left="0"/>
      <w:outlineLvl w:val="4"/>
    </w:pPr>
  </w:style>
  <w:style w:type="paragraph" w:customStyle="1" w:styleId="41">
    <w:name w:val="四级条标题"/>
    <w:basedOn w:val="40"/>
    <w:next w:val="36"/>
    <w:qFormat/>
    <w:uiPriority w:val="0"/>
    <w:pPr>
      <w:ind w:left="840"/>
      <w:outlineLvl w:val="5"/>
    </w:pPr>
  </w:style>
  <w:style w:type="paragraph" w:customStyle="1" w:styleId="42">
    <w:name w:val="五级条标题"/>
    <w:basedOn w:val="41"/>
    <w:next w:val="36"/>
    <w:qFormat/>
    <w:uiPriority w:val="0"/>
    <w:pPr>
      <w:ind w:left="1260"/>
      <w:outlineLvl w:val="6"/>
    </w:pPr>
  </w:style>
  <w:style w:type="paragraph" w:customStyle="1" w:styleId="4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5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character" w:customStyle="1" w:styleId="46">
    <w:name w:val="发布"/>
    <w:basedOn w:val="19"/>
    <w:qFormat/>
    <w:uiPriority w:val="0"/>
    <w:rPr>
      <w:rFonts w:ascii="黑体" w:hAnsi="Verdana" w:eastAsia="黑体"/>
      <w:spacing w:val="22"/>
      <w:w w:val="100"/>
      <w:position w:val="3"/>
      <w:sz w:val="28"/>
      <w:lang w:val="en-US" w:eastAsia="en-US" w:bidi="ar-SA"/>
    </w:rPr>
  </w:style>
  <w:style w:type="paragraph" w:customStyle="1" w:styleId="47">
    <w:name w:val="其他发布部门"/>
    <w:basedOn w:val="1"/>
    <w:qFormat/>
    <w:uiPriority w:val="0"/>
    <w:pPr>
      <w:widowControl/>
      <w:spacing w:line="0" w:lineRule="atLeast"/>
      <w:jc w:val="center"/>
    </w:pPr>
    <w:rPr>
      <w:rFonts w:ascii="黑体" w:hAnsi="Times New Roman" w:eastAsia="黑体" w:cs="Times New Roman"/>
      <w:spacing w:val="20"/>
      <w:w w:val="135"/>
      <w:kern w:val="0"/>
      <w:sz w:val="36"/>
      <w:szCs w:val="20"/>
    </w:rPr>
  </w:style>
  <w:style w:type="paragraph" w:customStyle="1" w:styleId="4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9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50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51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2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5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4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5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6">
    <w:name w:val="实施日期"/>
    <w:basedOn w:val="52"/>
    <w:qFormat/>
    <w:uiPriority w:val="0"/>
    <w:pPr>
      <w:numPr>
        <w:ilvl w:val="4"/>
        <w:numId w:val="1"/>
      </w:numPr>
      <w:jc w:val="right"/>
    </w:pPr>
  </w:style>
  <w:style w:type="paragraph" w:customStyle="1" w:styleId="57">
    <w:name w:val="文献分类号"/>
    <w:qFormat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58">
    <w:name w:val="标准书眉_偶数页"/>
    <w:basedOn w:val="48"/>
    <w:next w:val="1"/>
    <w:qFormat/>
    <w:uiPriority w:val="0"/>
    <w:pPr>
      <w:jc w:val="left"/>
    </w:pPr>
  </w:style>
  <w:style w:type="character" w:customStyle="1" w:styleId="59">
    <w:name w:val="批注文字 Char"/>
    <w:basedOn w:val="19"/>
    <w:link w:val="5"/>
    <w:semiHidden/>
    <w:qFormat/>
    <w:uiPriority w:val="99"/>
  </w:style>
  <w:style w:type="character" w:customStyle="1" w:styleId="60">
    <w:name w:val="批注主题 Char"/>
    <w:basedOn w:val="59"/>
    <w:link w:val="16"/>
    <w:semiHidden/>
    <w:qFormat/>
    <w:uiPriority w:val="99"/>
    <w:rPr>
      <w:b/>
      <w:bCs/>
    </w:rPr>
  </w:style>
  <w:style w:type="character" w:customStyle="1" w:styleId="61">
    <w:name w:val="脚注文本 Char"/>
    <w:basedOn w:val="19"/>
    <w:link w:val="12"/>
    <w:semiHidden/>
    <w:qFormat/>
    <w:uiPriority w:val="99"/>
    <w:rPr>
      <w:sz w:val="18"/>
      <w:szCs w:val="18"/>
    </w:rPr>
  </w:style>
  <w:style w:type="paragraph" w:customStyle="1" w:styleId="62">
    <w:name w:val="要求"/>
    <w:basedOn w:val="36"/>
    <w:qFormat/>
    <w:uiPriority w:val="0"/>
    <w:pPr>
      <w:tabs>
        <w:tab w:val="center" w:pos="4201"/>
        <w:tab w:val="right" w:leader="dot" w:pos="9298"/>
      </w:tabs>
      <w:adjustRightInd w:val="0"/>
      <w:snapToGrid w:val="0"/>
      <w:ind w:left="200" w:leftChars="200"/>
    </w:pPr>
    <w:rPr>
      <w:rFonts w:hAnsiTheme="minorHAnsi" w:eastAsiaTheme="minorEastAsia" w:cstheme="minorBidi"/>
      <w:szCs w:val="22"/>
    </w:rPr>
  </w:style>
  <w:style w:type="paragraph" w:customStyle="1" w:styleId="63">
    <w:name w:val="第二层"/>
    <w:basedOn w:val="1"/>
    <w:qFormat/>
    <w:uiPriority w:val="0"/>
    <w:pPr>
      <w:numPr>
        <w:ilvl w:val="1"/>
        <w:numId w:val="2"/>
      </w:numPr>
    </w:pPr>
    <w:rPr>
      <w:rFonts w:ascii="宋体" w:hAnsi="宋体" w:eastAsia="黑体"/>
      <w:sz w:val="28"/>
      <w:szCs w:val="24"/>
    </w:rPr>
  </w:style>
  <w:style w:type="paragraph" w:customStyle="1" w:styleId="64">
    <w:name w:val="示例内容"/>
    <w:qFormat/>
    <w:uiPriority w:val="0"/>
    <w:pPr>
      <w:ind w:firstLine="200" w:firstLineChars="200"/>
    </w:pPr>
    <w:rPr>
      <w:rFonts w:ascii="宋体" w:hAnsiTheme="minorHAnsi" w:eastAsiaTheme="minorEastAsia" w:cstheme="minorBidi"/>
      <w:sz w:val="18"/>
      <w:szCs w:val="18"/>
      <w:lang w:val="en-US" w:eastAsia="zh-CN" w:bidi="ar-SA"/>
    </w:rPr>
  </w:style>
  <w:style w:type="paragraph" w:customStyle="1" w:styleId="65">
    <w:name w:val="列出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66">
    <w:name w:val="Unresolved Mention"/>
    <w:basedOn w:val="19"/>
    <w:unhideWhenUsed/>
    <w:qFormat/>
    <w:uiPriority w:val="99"/>
    <w:rPr>
      <w:color w:val="808080"/>
      <w:shd w:val="clear" w:color="auto" w:fill="E6E6E6"/>
    </w:rPr>
  </w:style>
  <w:style w:type="character" w:customStyle="1" w:styleId="67">
    <w:name w:val="font91"/>
    <w:basedOn w:val="19"/>
    <w:qFormat/>
    <w:uiPriority w:val="0"/>
    <w:rPr>
      <w:rFonts w:hint="default" w:ascii="仿宋_GB2312" w:eastAsia="仿宋_GB2312" w:cs="仿宋_GB2312"/>
      <w:b/>
      <w:color w:val="000000"/>
      <w:sz w:val="36"/>
      <w:szCs w:val="36"/>
      <w:u w:val="single"/>
    </w:rPr>
  </w:style>
  <w:style w:type="character" w:customStyle="1" w:styleId="68">
    <w:name w:val="font51"/>
    <w:basedOn w:val="19"/>
    <w:qFormat/>
    <w:uiPriority w:val="0"/>
    <w:rPr>
      <w:rFonts w:hint="default" w:ascii="仿宋_GB2312" w:eastAsia="仿宋_GB2312" w:cs="仿宋_GB2312"/>
      <w:color w:val="000000"/>
      <w:sz w:val="36"/>
      <w:szCs w:val="36"/>
      <w:u w:val="none"/>
    </w:rPr>
  </w:style>
  <w:style w:type="character" w:customStyle="1" w:styleId="69">
    <w:name w:val="font61"/>
    <w:basedOn w:val="19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3028</Words>
  <Characters>3111</Characters>
  <Lines>32</Lines>
  <Paragraphs>9</Paragraphs>
  <TotalTime>15</TotalTime>
  <ScaleCrop>false</ScaleCrop>
  <LinksUpToDate>false</LinksUpToDate>
  <CharactersWithSpaces>3265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2019-12-26T18:26:00Z</dcterms:created>
  <dc:creator>mz chen</dc:creator>
  <cp:lastModifiedBy>user</cp:lastModifiedBy>
  <cp:lastPrinted>2017-11-15T23:05:00Z</cp:lastPrinted>
  <dcterms:modified xsi:type="dcterms:W3CDTF">2022-07-13T12:16:05Z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D40C10D84AA347C7B7C1BC70FEF73C0C</vt:lpwstr>
  </property>
</Properties>
</file>