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kinsoku/>
        <w:wordWrap/>
        <w:overflowPunct/>
        <w:topLinePunct w:val="0"/>
        <w:autoSpaceDE/>
        <w:autoSpaceDN/>
        <w:bidi w:val="0"/>
        <w:adjustRightInd/>
        <w:snapToGrid/>
        <w:spacing w:line="440" w:lineRule="exact"/>
        <w:ind w:firstLine="0" w:firstLineChars="0"/>
        <w:jc w:val="center"/>
        <w:textAlignment w:val="auto"/>
        <w:rPr>
          <w:rFonts w:hint="eastAsia" w:ascii="方正小标宋简体" w:hAnsi="方正小标宋简体" w:eastAsia="方正小标宋简体" w:cs="方正小标宋简体"/>
          <w:b w:val="0"/>
          <w:bCs w:val="0"/>
          <w:sz w:val="36"/>
          <w:szCs w:val="21"/>
        </w:rPr>
      </w:pPr>
      <w:bookmarkStart w:id="0" w:name="_Toc491691904"/>
      <w:bookmarkStart w:id="1" w:name="_Toc491691903"/>
      <w:r>
        <w:rPr>
          <w:rFonts w:hint="eastAsia" w:ascii="方正小标宋简体" w:hAnsi="方正小标宋简体" w:eastAsia="方正小标宋简体" w:cs="方正小标宋简体"/>
          <w:b w:val="0"/>
          <w:bCs w:val="0"/>
          <w:sz w:val="36"/>
          <w:szCs w:val="21"/>
        </w:rPr>
        <w:t>宜春市综合行政执法局（市城管局）</w:t>
      </w:r>
    </w:p>
    <w:p>
      <w:pPr>
        <w:pStyle w:val="35"/>
        <w:keepNext w:val="0"/>
        <w:keepLines w:val="0"/>
        <w:pageBreakBefore w:val="0"/>
        <w:kinsoku/>
        <w:wordWrap/>
        <w:overflowPunct/>
        <w:topLinePunct w:val="0"/>
        <w:autoSpaceDE/>
        <w:autoSpaceDN/>
        <w:bidi w:val="0"/>
        <w:adjustRightInd/>
        <w:snapToGrid/>
        <w:spacing w:line="440" w:lineRule="exact"/>
        <w:jc w:val="center"/>
        <w:textAlignment w:val="auto"/>
        <w:outlineLvl w:val="1"/>
        <w:rPr>
          <w:rFonts w:ascii="宋体" w:hAnsi="宋体" w:eastAsia="宋体" w:cs="宋体"/>
          <w:b/>
          <w:bCs/>
          <w:sz w:val="28"/>
        </w:rPr>
      </w:pPr>
      <w:r>
        <w:rPr>
          <w:rFonts w:hint="eastAsia" w:ascii="方正小标宋简体" w:hAnsi="方正小标宋简体" w:eastAsia="方正小标宋简体" w:cs="方正小标宋简体"/>
          <w:b w:val="0"/>
          <w:bCs w:val="0"/>
          <w:sz w:val="36"/>
          <w:szCs w:val="21"/>
        </w:rPr>
        <w:t>政务服务事项办事指南</w:t>
      </w:r>
      <w:bookmarkEnd w:id="0"/>
      <w:bookmarkEnd w:id="1"/>
    </w:p>
    <w:tbl>
      <w:tblPr>
        <w:tblStyle w:val="18"/>
        <w:tblW w:w="987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70" w:type="dxa"/>
          </w:tcPr>
          <w:p>
            <w:pPr>
              <w:spacing w:line="360" w:lineRule="exact"/>
              <w:jc w:val="center"/>
              <w:rPr>
                <w:rFonts w:hint="eastAsia" w:ascii="黑体" w:hAnsi="黑体" w:eastAsia="黑体"/>
                <w:sz w:val="32"/>
                <w:szCs w:val="32"/>
              </w:rPr>
            </w:pPr>
          </w:p>
          <w:p>
            <w:pPr>
              <w:spacing w:line="3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拆除、改动城镇排水与污水处理设施审核</w:t>
            </w:r>
          </w:p>
          <w:p>
            <w:pPr>
              <w:spacing w:line="3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（办事指南）</w:t>
            </w:r>
          </w:p>
          <w:p>
            <w:pPr>
              <w:widowControl/>
              <w:spacing w:line="340" w:lineRule="exact"/>
              <w:jc w:val="left"/>
              <w:textAlignment w:val="center"/>
              <w:rPr>
                <w:rFonts w:hint="eastAsia" w:ascii="仿宋_GB2312" w:hAnsi="仿宋_GB2312" w:eastAsia="仿宋_GB2312" w:cs="仿宋_GB2312"/>
                <w:kern w:val="36"/>
                <w:sz w:val="24"/>
                <w:szCs w:val="24"/>
              </w:rPr>
            </w:pPr>
            <w:bookmarkStart w:id="2" w:name="_Hlk493060278"/>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一、事项名称</w:t>
            </w:r>
          </w:p>
          <w:bookmarkEnd w:id="2"/>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事项名称：拆除、改动城镇排水与污水处理设施审核</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二、事项编码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事项编码：360117008000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五、行使层级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行使类型：本级保留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lang w:eastAsia="zh-CN"/>
              </w:rPr>
              <w:t>六、</w:t>
            </w:r>
            <w:r>
              <w:rPr>
                <w:rFonts w:hint="eastAsia" w:ascii="方正黑体_GBK" w:hAnsi="方正黑体_GBK" w:eastAsia="方正黑体_GBK" w:cs="方正黑体_GBK"/>
                <w:kern w:val="36"/>
                <w:sz w:val="24"/>
                <w:szCs w:val="24"/>
              </w:rPr>
              <w:t>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lang w:eastAsia="zh-CN"/>
              </w:rPr>
            </w:pPr>
            <w:r>
              <w:rPr>
                <w:rFonts w:hint="eastAsia" w:ascii="仿宋_GB2312" w:hAnsi="仿宋_GB2312" w:eastAsia="仿宋_GB2312" w:cs="仿宋_GB2312"/>
                <w:kern w:val="36"/>
                <w:sz w:val="24"/>
                <w:szCs w:val="24"/>
              </w:rPr>
              <w:t>本事项无权限划分</w:t>
            </w:r>
            <w:r>
              <w:rPr>
                <w:rFonts w:hint="eastAsia" w:ascii="仿宋_GB2312" w:hAnsi="仿宋_GB2312" w:eastAsia="仿宋_GB2312" w:cs="仿宋_GB2312"/>
                <w:kern w:val="36"/>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七、行使内容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拆除、改动城镇排水与污水处理设施审核</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办件类型：承诺件</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九、设定依据</w:t>
            </w:r>
          </w:p>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《城镇排水与污水处理条例》</w:t>
            </w:r>
            <w:r>
              <w:rPr>
                <w:rFonts w:hint="eastAsia" w:ascii="仿宋_GB2312" w:hAnsi="仿宋_GB2312" w:eastAsia="仿宋_GB2312" w:cs="仿宋_GB2312"/>
                <w:b/>
                <w:bCs/>
                <w:sz w:val="24"/>
                <w:szCs w:val="24"/>
                <w:lang w:eastAsia="zh-CN"/>
              </w:rPr>
              <w:t>第四十三条</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 </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方正黑体_GBK" w:hAnsi="方正黑体_GBK" w:eastAsia="方正黑体_GBK" w:cs="方正黑体_GBK"/>
                <w:kern w:val="36"/>
                <w:sz w:val="24"/>
                <w:szCs w:val="24"/>
                <w:lang w:eastAsia="zh-CN"/>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实施机构主体性质：法定机关</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十一、受理条件</w:t>
            </w:r>
          </w:p>
          <w:p>
            <w:pPr>
              <w:pStyle w:val="62"/>
              <w:tabs>
                <w:tab w:val="center" w:pos="5001"/>
                <w:tab w:val="clear" w:pos="4201"/>
                <w:tab w:val="clear" w:pos="9298"/>
              </w:tabs>
              <w:adjustRightInd/>
              <w:snapToGrid/>
              <w:spacing w:line="34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2、符合法定形式。</w:t>
            </w:r>
          </w:p>
          <w:p>
            <w:pPr>
              <w:pStyle w:val="62"/>
              <w:tabs>
                <w:tab w:val="center" w:pos="5001"/>
                <w:tab w:val="clear" w:pos="4201"/>
                <w:tab w:val="clear" w:pos="9298"/>
              </w:tabs>
              <w:adjustRightInd/>
              <w:snapToGrid/>
              <w:spacing w:line="34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申请人不符合以上条件，或者不能提供足以证明符合条件的相关证明材料。</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本事项无数量限制</w:t>
            </w:r>
            <w:r>
              <w:rPr>
                <w:rFonts w:hint="eastAsia" w:ascii="仿宋_GB2312" w:hAnsi="仿宋_GB2312" w:eastAsia="仿宋_GB2312" w:cs="仿宋_GB2312"/>
                <w:color w:val="000000"/>
                <w:kern w:val="0"/>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十三、申请材料</w:t>
            </w:r>
          </w:p>
          <w:p>
            <w:pPr>
              <w:pStyle w:val="62"/>
              <w:tabs>
                <w:tab w:val="center" w:pos="5001"/>
                <w:tab w:val="clear" w:pos="4201"/>
                <w:tab w:val="clear" w:pos="9298"/>
              </w:tabs>
              <w:adjustRightInd/>
              <w:snapToGrid/>
              <w:spacing w:line="34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rPr>
              <w:t>申请表中各项内容填写清晰、明了，与实际情况一致</w:t>
            </w:r>
            <w:r>
              <w:rPr>
                <w:rFonts w:hint="eastAsia" w:ascii="仿宋_GB2312" w:hAnsi="仿宋_GB2312" w:eastAsia="仿宋_GB2312" w:cs="仿宋_GB2312"/>
                <w:sz w:val="24"/>
                <w:lang w:eastAsia="zh-CN"/>
              </w:rPr>
              <w:t>。</w:t>
            </w:r>
          </w:p>
          <w:p>
            <w:pPr>
              <w:pStyle w:val="62"/>
              <w:tabs>
                <w:tab w:val="center" w:pos="5001"/>
                <w:tab w:val="clear" w:pos="4201"/>
                <w:tab w:val="clear" w:pos="9298"/>
              </w:tabs>
              <w:adjustRightInd/>
              <w:snapToGrid/>
              <w:spacing w:line="34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（二）申请材料目录</w:t>
            </w:r>
          </w:p>
          <w:tbl>
            <w:tblPr>
              <w:tblStyle w:val="17"/>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2983"/>
              <w:gridCol w:w="1328"/>
              <w:gridCol w:w="1367"/>
              <w:gridCol w:w="653"/>
              <w:gridCol w:w="129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blHeader/>
              </w:trPr>
              <w:tc>
                <w:tcPr>
                  <w:tcW w:w="5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48" w:leftChars="23"/>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序号</w:t>
                  </w:r>
                </w:p>
              </w:tc>
              <w:tc>
                <w:tcPr>
                  <w:tcW w:w="29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提交材料名称</w:t>
                  </w:r>
                </w:p>
              </w:tc>
              <w:tc>
                <w:tcPr>
                  <w:tcW w:w="132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kern w:val="0"/>
                      <w:sz w:val="21"/>
                      <w:szCs w:val="21"/>
                    </w:rPr>
                    <w:t>材料来源</w:t>
                  </w:r>
                </w:p>
              </w:tc>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原件/复印件</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份数</w:t>
                  </w:r>
                </w:p>
              </w:tc>
              <w:tc>
                <w:tcPr>
                  <w:tcW w:w="129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纸质/电子报件</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trPr>
              <w:tc>
                <w:tcPr>
                  <w:tcW w:w="5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98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申请资料（</w:t>
                  </w:r>
                  <w:r>
                    <w:rPr>
                      <w:rFonts w:hint="eastAsia" w:ascii="仿宋_GB2312" w:hAnsi="仿宋_GB2312" w:eastAsia="仿宋_GB2312" w:cs="仿宋_GB2312"/>
                      <w:sz w:val="21"/>
                      <w:szCs w:val="21"/>
                    </w:rPr>
                    <w:t>申请</w:t>
                  </w:r>
                  <w:r>
                    <w:rPr>
                      <w:rFonts w:hint="default" w:ascii="仿宋_GB2312" w:hAnsi="仿宋_GB2312" w:eastAsia="仿宋_GB2312" w:cs="仿宋_GB2312"/>
                      <w:sz w:val="21"/>
                      <w:szCs w:val="21"/>
                      <w:lang w:val="en-US"/>
                    </w:rPr>
                    <w:t>书</w:t>
                  </w:r>
                  <w:r>
                    <w:rPr>
                      <w:rFonts w:hint="eastAsia" w:ascii="仿宋_GB2312" w:hAnsi="仿宋_GB2312" w:eastAsia="仿宋_GB2312" w:cs="仿宋_GB2312"/>
                      <w:sz w:val="21"/>
                      <w:szCs w:val="21"/>
                      <w:lang w:eastAsia="zh-CN"/>
                    </w:rPr>
                    <w:t>、工商营业执照、法人或委托人身份证复印件、法人委托书）</w:t>
                  </w:r>
                </w:p>
              </w:tc>
              <w:tc>
                <w:tcPr>
                  <w:tcW w:w="132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格式由窗口提供</w:t>
                  </w:r>
                </w:p>
              </w:tc>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原件</w:t>
                  </w:r>
                  <w:r>
                    <w:rPr>
                      <w:rFonts w:hint="eastAsia" w:ascii="仿宋_GB2312" w:hAnsi="仿宋_GB2312" w:eastAsia="仿宋_GB2312" w:cs="仿宋_GB2312"/>
                      <w:sz w:val="21"/>
                      <w:szCs w:val="21"/>
                      <w:lang w:eastAsia="zh-CN"/>
                    </w:rPr>
                    <w:t>或复印件</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9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5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983" w:type="dxa"/>
                  <w:vAlign w:val="center"/>
                </w:tcPr>
                <w:p>
                  <w:pPr>
                    <w:keepNext w:val="0"/>
                    <w:keepLines w:val="0"/>
                    <w:pageBreakBefore w:val="0"/>
                    <w:widowControl w:val="0"/>
                    <w:kinsoku/>
                    <w:wordWrap/>
                    <w:overflowPunct/>
                    <w:topLinePunct w:val="0"/>
                    <w:autoSpaceDE/>
                    <w:autoSpaceDN/>
                    <w:bidi w:val="0"/>
                    <w:spacing w:line="2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建筑工程施工许可证</w:t>
                  </w:r>
                  <w:r>
                    <w:rPr>
                      <w:rFonts w:hint="eastAsia" w:ascii="仿宋_GB2312" w:hAnsi="仿宋_GB2312" w:eastAsia="仿宋_GB2312" w:cs="仿宋_GB2312"/>
                      <w:sz w:val="21"/>
                      <w:szCs w:val="21"/>
                    </w:rPr>
                    <w:t>和建设工程规划类许可证</w:t>
                  </w:r>
                </w:p>
              </w:tc>
              <w:tc>
                <w:tcPr>
                  <w:tcW w:w="132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申请人提供</w:t>
                  </w:r>
                </w:p>
              </w:tc>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9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5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9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具有市政设计资质单位出具的排水、污水处理设施迁移、改建设计方案、设计图纸、位置平面图及详细数据资料</w:t>
                  </w:r>
                </w:p>
              </w:tc>
              <w:tc>
                <w:tcPr>
                  <w:tcW w:w="132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申请人提供</w:t>
                  </w:r>
                </w:p>
              </w:tc>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9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58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2983" w:type="dxa"/>
                  <w:vAlign w:val="center"/>
                </w:tcPr>
                <w:p>
                  <w:pPr>
                    <w:keepNext w:val="0"/>
                    <w:keepLines w:val="0"/>
                    <w:pageBreakBefore w:val="0"/>
                    <w:widowControl w:val="0"/>
                    <w:kinsoku/>
                    <w:wordWrap/>
                    <w:overflowPunct/>
                    <w:topLinePunct w:val="0"/>
                    <w:autoSpaceDE/>
                    <w:autoSpaceDN/>
                    <w:bidi w:val="0"/>
                    <w:spacing w:line="28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重建、改建和临时措施</w:t>
                  </w:r>
                </w:p>
              </w:tc>
              <w:tc>
                <w:tcPr>
                  <w:tcW w:w="132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申请人提供</w:t>
                  </w:r>
                </w:p>
              </w:tc>
              <w:tc>
                <w:tcPr>
                  <w:tcW w:w="1367"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原件或复印件</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298"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纸质</w:t>
                  </w:r>
                </w:p>
              </w:tc>
              <w:tc>
                <w:tcPr>
                  <w:tcW w:w="136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必须提交的申请材料</w:t>
                  </w:r>
                </w:p>
              </w:tc>
            </w:tr>
          </w:tbl>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十四、审查要点</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（一）逐项提交各项资料。</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（二）应按照申请书说明的要求填写申请书各项内容。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十五、办理流程</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（一）预约</w:t>
            </w:r>
          </w:p>
          <w:p>
            <w:pPr>
              <w:keepNext w:val="0"/>
              <w:keepLines w:val="0"/>
              <w:pageBreakBefore w:val="0"/>
              <w:kinsoku/>
              <w:wordWrap/>
              <w:overflowPunct/>
              <w:topLinePunct w:val="0"/>
              <w:bidi w:val="0"/>
              <w:spacing w:line="40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电话</w:t>
            </w:r>
            <w:r>
              <w:rPr>
                <w:rFonts w:hint="eastAsia" w:ascii="仿宋_GB2312" w:hAnsi="仿宋_GB2312" w:eastAsia="仿宋_GB2312" w:cs="仿宋_GB2312"/>
                <w:sz w:val="24"/>
                <w:szCs w:val="24"/>
              </w:rPr>
              <w:t>预约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0795-3216724</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（二）申请</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szCs w:val="24"/>
              </w:rPr>
              <w:t>提交方式：</w:t>
            </w:r>
            <w:r>
              <w:rPr>
                <w:rFonts w:hint="eastAsia" w:ascii="仿宋_GB2312" w:hAnsi="仿宋_GB2312" w:eastAsia="仿宋_GB2312" w:cs="仿宋_GB2312"/>
                <w:color w:val="000000"/>
                <w:kern w:val="0"/>
                <w:sz w:val="24"/>
              </w:rPr>
              <w:t>窗口提交</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接收地址：江西省宜春市袁州区府中路宜阳大厦中座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（三）受理</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正材料通知书，通知书中应一次性告知需要补正的全部材料。</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（四）实人认证</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（五）办理进程查询</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申请人可通过查询事项办理进程。</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（六）办理结果</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办理结果：许可表</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（七）送达方式</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送达方式：现场领取或邮寄送达</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现场领取地址：江西省宜春市袁州区府中路宜阳大厦中座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keepNext w:val="0"/>
              <w:keepLines w:val="0"/>
              <w:pageBreakBefore w:val="0"/>
              <w:kinsoku/>
              <w:wordWrap/>
              <w:overflowPunct/>
              <w:topLinePunct w:val="0"/>
              <w:bidi w:val="0"/>
              <w:spacing w:line="400" w:lineRule="exact"/>
              <w:ind w:firstLine="481"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（八）到窗口次数</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到窗口次数：</w:t>
            </w:r>
            <w:r>
              <w:rPr>
                <w:rFonts w:hint="eastAsia" w:ascii="仿宋_GB2312" w:hAnsi="仿宋_GB2312" w:eastAsia="仿宋_GB2312" w:cs="仿宋_GB2312"/>
                <w:color w:val="000000"/>
                <w:kern w:val="0"/>
                <w:sz w:val="24"/>
                <w:szCs w:val="24"/>
                <w:lang w:val="en-US" w:eastAsia="zh-CN"/>
              </w:rPr>
              <w:t>0</w:t>
            </w:r>
            <w:r>
              <w:rPr>
                <w:rFonts w:hint="eastAsia" w:ascii="仿宋_GB2312" w:hAnsi="仿宋_GB2312" w:eastAsia="仿宋_GB2312" w:cs="仿宋_GB2312"/>
                <w:color w:val="000000"/>
                <w:kern w:val="0"/>
                <w:sz w:val="24"/>
                <w:szCs w:val="24"/>
              </w:rPr>
              <w:t>次。</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十六、办理期限</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法定办结期限：20个工作日</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承诺办结期限：3个工作日</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十七、事项收费</w:t>
            </w:r>
          </w:p>
          <w:p>
            <w:pPr>
              <w:keepNext w:val="0"/>
              <w:keepLines w:val="0"/>
              <w:pageBreakBefore w:val="0"/>
              <w:widowControl/>
              <w:kinsoku/>
              <w:wordWrap/>
              <w:overflowPunct/>
              <w:topLinePunct w:val="0"/>
              <w:bidi w:val="0"/>
              <w:spacing w:line="400" w:lineRule="exact"/>
              <w:ind w:firstLine="480" w:firstLineChars="200"/>
              <w:jc w:val="left"/>
              <w:textAlignment w:val="center"/>
              <w:rPr>
                <w:rFonts w:hint="eastAsia" w:ascii="仿宋_GB2312" w:hAnsi="仿宋_GB2312" w:eastAsia="仿宋_GB2312" w:cs="仿宋_GB2312"/>
                <w:kern w:val="36"/>
                <w:sz w:val="24"/>
                <w:szCs w:val="24"/>
                <w:lang w:eastAsia="zh-CN"/>
              </w:rPr>
            </w:pPr>
            <w:r>
              <w:rPr>
                <w:rFonts w:hint="eastAsia" w:ascii="仿宋_GB2312" w:hAnsi="仿宋_GB2312" w:eastAsia="仿宋_GB2312" w:cs="仿宋_GB2312"/>
                <w:kern w:val="36"/>
                <w:sz w:val="24"/>
                <w:szCs w:val="24"/>
              </w:rPr>
              <w:t>本项目不收费</w:t>
            </w:r>
            <w:r>
              <w:rPr>
                <w:rFonts w:hint="eastAsia" w:ascii="仿宋_GB2312" w:hAnsi="仿宋_GB2312" w:eastAsia="仿宋_GB2312" w:cs="仿宋_GB2312"/>
                <w:kern w:val="36"/>
                <w:sz w:val="24"/>
                <w:szCs w:val="24"/>
                <w:lang w:eastAsia="zh-CN"/>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十八、行政相对人权利</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依法享有知情权、陈述权、申辩权，有权依法申请行政复议或者提起行政诉讼。</w:t>
            </w:r>
          </w:p>
          <w:p>
            <w:pPr>
              <w:keepNext w:val="0"/>
              <w:keepLines w:val="0"/>
              <w:pageBreakBefore w:val="0"/>
              <w:widowControl/>
              <w:kinsoku/>
              <w:wordWrap/>
              <w:overflowPunct/>
              <w:topLinePunct w:val="0"/>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十九、行政相对人义务</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应当如实向行政机关提交有关材料和反映真实情况，并对其申请材料实质内容的真实性负责。</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二十、咨询途径</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（一）窗口咨询</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地址：江西省宜春市宜阳大厦中座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9:00--17:00（节假日预约、延时服务）。</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（二）电话咨询</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电话号码：0795－3216724</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二十一、监督投诉</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（一）窗口投诉</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窗口名称：市行政审批局监管协调处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地址：宜春市宜阳大厦中座三楼行政审批局督查考核科</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（二）监督投诉电话</w:t>
            </w:r>
          </w:p>
          <w:p>
            <w:pPr>
              <w:pStyle w:val="62"/>
              <w:keepNext w:val="0"/>
              <w:keepLines w:val="0"/>
              <w:pageBreakBefore w:val="0"/>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电话号码：0795-3216742</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仿宋_GB2312" w:hAnsi="仿宋_GB2312" w:eastAsia="仿宋_GB2312" w:cs="仿宋_GB2312"/>
                <w:b/>
                <w:sz w:val="24"/>
                <w:szCs w:val="24"/>
              </w:rPr>
            </w:pPr>
            <w:r>
              <w:rPr>
                <w:rFonts w:hint="eastAsia" w:ascii="楷体_GB2312" w:hAnsi="楷体_GB2312" w:eastAsia="楷体_GB2312" w:cs="楷体_GB2312"/>
                <w:b/>
                <w:sz w:val="24"/>
                <w:szCs w:val="24"/>
              </w:rPr>
              <w:t>（三）信函投诉</w:t>
            </w:r>
            <w:r>
              <w:rPr>
                <w:rFonts w:hint="eastAsia" w:ascii="仿宋_GB2312" w:hAnsi="仿宋_GB2312" w:eastAsia="仿宋_GB2312" w:cs="仿宋_GB2312"/>
                <w:b/>
                <w:sz w:val="24"/>
                <w:szCs w:val="24"/>
              </w:rPr>
              <w:tab/>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投诉受理部门：市行政审批局监管协调处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通讯地址：宜春市宜阳大厦中座三楼行政审批局督查考核科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邮政编码：33600</w:t>
            </w:r>
            <w:r>
              <w:rPr>
                <w:rFonts w:hint="eastAsia" w:ascii="仿宋_GB2312" w:hAnsi="仿宋_GB2312" w:eastAsia="仿宋_GB2312" w:cs="仿宋_GB2312"/>
                <w:sz w:val="24"/>
                <w:szCs w:val="24"/>
                <w:lang w:val="en-US" w:eastAsia="zh-CN"/>
              </w:rPr>
              <w:t>0</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本事项不支持通办。</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本事项不收费。</w:t>
            </w: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40" w:lineRule="exact"/>
              <w:ind w:left="0" w:leftChars="0" w:firstLine="480"/>
              <w:jc w:val="left"/>
              <w:rPr>
                <w:rFonts w:hint="eastAsia" w:ascii="仿宋_GB2312" w:hAnsi="仿宋_GB2312" w:eastAsia="仿宋_GB2312" w:cs="仿宋_GB2312"/>
                <w:sz w:val="24"/>
                <w:szCs w:val="24"/>
              </w:rPr>
            </w:pPr>
          </w:p>
          <w:p>
            <w:pPr>
              <w:spacing w:line="360" w:lineRule="exact"/>
              <w:jc w:val="left"/>
              <w:rPr>
                <w:rFonts w:hint="eastAsia" w:ascii="方正黑体_GBK" w:hAnsi="方正黑体_GBK" w:eastAsia="方正黑体_GBK" w:cs="方正黑体_GBK"/>
                <w:kern w:val="36"/>
                <w:sz w:val="32"/>
                <w:szCs w:val="32"/>
              </w:rPr>
            </w:pPr>
          </w:p>
          <w:p>
            <w:pPr>
              <w:spacing w:line="360" w:lineRule="exact"/>
              <w:jc w:val="left"/>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附录1：流程图</w:t>
            </w:r>
          </w:p>
          <w:p>
            <w:pPr>
              <w:spacing w:line="360" w:lineRule="exact"/>
              <w:jc w:val="left"/>
              <w:rPr>
                <w:rFonts w:hint="eastAsia" w:ascii="方正黑体_GBK" w:hAnsi="方正黑体_GBK" w:eastAsia="方正黑体_GBK" w:cs="方正黑体_GBK"/>
                <w:kern w:val="36"/>
                <w:sz w:val="32"/>
                <w:szCs w:val="32"/>
              </w:rPr>
            </w:pPr>
          </w:p>
          <w:p>
            <w:pPr>
              <w:jc w:val="left"/>
              <w:rPr>
                <w:rFonts w:hint="eastAsia"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drawing>
                <wp:inline distT="0" distB="0" distL="114300" distR="114300">
                  <wp:extent cx="6019165" cy="5447665"/>
                  <wp:effectExtent l="0" t="0" r="635" b="635"/>
                  <wp:docPr id="1" name="图片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
                          <pic:cNvPicPr>
                            <a:picLocks noChangeAspect="1"/>
                          </pic:cNvPicPr>
                        </pic:nvPicPr>
                        <pic:blipFill>
                          <a:blip r:embed="rId5" cstate="print"/>
                          <a:stretch>
                            <a:fillRect/>
                          </a:stretch>
                        </pic:blipFill>
                        <pic:spPr>
                          <a:xfrm>
                            <a:off x="0" y="0"/>
                            <a:ext cx="6019165" cy="5447665"/>
                          </a:xfrm>
                          <a:prstGeom prst="rect">
                            <a:avLst/>
                          </a:prstGeom>
                        </pic:spPr>
                      </pic:pic>
                    </a:graphicData>
                  </a:graphic>
                </wp:inline>
              </w:drawing>
            </w: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仿宋_GB2312" w:hAnsi="仿宋_GB2312" w:eastAsia="仿宋_GB2312" w:cs="仿宋_GB2312"/>
                <w:kern w:val="36"/>
                <w:sz w:val="28"/>
                <w:szCs w:val="28"/>
              </w:rPr>
            </w:pPr>
          </w:p>
          <w:p>
            <w:pPr>
              <w:spacing w:line="360" w:lineRule="exact"/>
              <w:jc w:val="left"/>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kern w:val="36"/>
                <w:sz w:val="32"/>
                <w:szCs w:val="32"/>
              </w:rPr>
              <w:t>附录2：申请材料格式文本</w:t>
            </w:r>
          </w:p>
          <w:p>
            <w:pPr>
              <w:spacing w:line="420" w:lineRule="exact"/>
              <w:jc w:val="center"/>
              <w:rPr>
                <w:rFonts w:hint="eastAsia" w:ascii="宋体" w:hAnsi="宋体" w:eastAsia="等线"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行政许可申请人: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中标或委托建设单位：</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现场施工单位：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申请的事实和理由：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附：行政许可申请材料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40" w:firstLineChars="154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行政许可申请人：</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 托 代 理 人：</w:t>
            </w: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080" w:hanging="6080" w:hanging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spacing w:line="360" w:lineRule="exact"/>
              <w:ind w:left="6080" w:hanging="6080" w:hangingChars="1900"/>
              <w:rPr>
                <w:rFonts w:hint="eastAsia" w:ascii="仿宋_GB2312" w:hAnsi="仿宋_GB2312" w:eastAsia="仿宋_GB2312" w:cs="仿宋_GB2312"/>
                <w:sz w:val="32"/>
                <w:szCs w:val="32"/>
              </w:rPr>
            </w:pPr>
          </w:p>
          <w:p>
            <w:pPr>
              <w:adjustRightInd w:val="0"/>
              <w:snapToGrid w:val="0"/>
              <w:spacing w:line="360" w:lineRule="exact"/>
              <w:jc w:val="left"/>
              <w:rPr>
                <w:rFonts w:hint="eastAsia" w:ascii="方正黑体_GBK" w:hAnsi="方正黑体_GBK" w:eastAsia="方正黑体_GBK" w:cs="方正黑体_GBK"/>
                <w:kern w:val="36"/>
                <w:sz w:val="32"/>
                <w:szCs w:val="32"/>
              </w:rPr>
            </w:pPr>
            <w:r>
              <w:rPr>
                <w:rFonts w:hint="eastAsia" w:ascii="方正黑体_GBK" w:hAnsi="方正黑体_GBK" w:eastAsia="方正黑体_GBK" w:cs="方正黑体_GBK"/>
                <w:sz w:val="32"/>
                <w:szCs w:val="32"/>
              </w:rPr>
              <w:t>附录3：</w:t>
            </w:r>
            <w:r>
              <w:rPr>
                <w:rFonts w:hint="eastAsia" w:ascii="方正黑体_GBK" w:hAnsi="方正黑体_GBK" w:eastAsia="方正黑体_GBK" w:cs="方正黑体_GBK"/>
                <w:kern w:val="36"/>
                <w:sz w:val="32"/>
                <w:szCs w:val="32"/>
              </w:rPr>
              <w:t>结果样本</w:t>
            </w:r>
          </w:p>
          <w:p>
            <w:pPr>
              <w:spacing w:line="360" w:lineRule="exact"/>
              <w:jc w:val="center"/>
              <w:rPr>
                <w:rFonts w:hint="eastAsia" w:ascii="方正小标宋简体" w:hAnsi="方正小标宋简体" w:eastAsia="方正小标宋简体" w:cs="方正小标宋简体"/>
                <w:b w:val="0"/>
                <w:bCs w:val="0"/>
                <w:sz w:val="30"/>
                <w:szCs w:val="30"/>
              </w:rPr>
            </w:pPr>
          </w:p>
          <w:p>
            <w:pPr>
              <w:spacing w:line="360" w:lineRule="exact"/>
              <w:jc w:val="center"/>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rPr>
              <w:t>拆除、改动</w:t>
            </w:r>
            <w:r>
              <w:rPr>
                <w:rFonts w:hint="default" w:ascii="方正小标宋简体" w:hAnsi="方正小标宋简体" w:eastAsia="方正小标宋简体" w:cs="方正小标宋简体"/>
                <w:b w:val="0"/>
                <w:bCs w:val="0"/>
                <w:sz w:val="30"/>
                <w:szCs w:val="30"/>
                <w:lang w:val="en-US"/>
              </w:rPr>
              <w:t>城镇</w:t>
            </w:r>
            <w:r>
              <w:rPr>
                <w:rFonts w:hint="eastAsia" w:ascii="方正小标宋简体" w:hAnsi="方正小标宋简体" w:eastAsia="方正小标宋简体" w:cs="方正小标宋简体"/>
                <w:b w:val="0"/>
                <w:bCs w:val="0"/>
                <w:sz w:val="30"/>
                <w:szCs w:val="30"/>
              </w:rPr>
              <w:t>排水与污水处理设施审核许可表</w:t>
            </w:r>
          </w:p>
          <w:p>
            <w:pPr>
              <w:spacing w:line="360" w:lineRule="exact"/>
              <w:jc w:val="right"/>
              <w:rPr>
                <w:rFonts w:hint="eastAsia" w:ascii="仿宋_GB2312" w:hAnsi="仿宋_GB2312" w:eastAsia="仿宋_GB2312" w:cs="仿宋_GB2312"/>
                <w:sz w:val="28"/>
                <w:szCs w:val="28"/>
              </w:rPr>
            </w:pPr>
          </w:p>
          <w:p>
            <w:pPr>
              <w:spacing w:line="36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宜</w:t>
            </w:r>
            <w:r>
              <w:rPr>
                <w:rFonts w:hint="eastAsia" w:ascii="仿宋_GB2312" w:hAnsi="仿宋_GB2312" w:eastAsia="仿宋_GB2312" w:cs="仿宋_GB2312"/>
                <w:sz w:val="28"/>
                <w:szCs w:val="28"/>
                <w:lang w:eastAsia="zh-CN"/>
              </w:rPr>
              <w:t>综行执</w:t>
            </w:r>
            <w:r>
              <w:rPr>
                <w:rFonts w:hint="eastAsia" w:ascii="仿宋_GB2312" w:hAnsi="仿宋_GB2312" w:eastAsia="仿宋_GB2312" w:cs="仿宋_GB2312"/>
                <w:sz w:val="28"/>
                <w:szCs w:val="28"/>
              </w:rPr>
              <w:t>停批</w:t>
            </w:r>
            <w:r>
              <w:rPr>
                <w:rFonts w:hint="eastAsia" w:ascii="仿宋_GB2312" w:hAnsi="仿宋_GB2312" w:eastAsia="仿宋_GB2312" w:cs="仿宋_GB2312"/>
                <w:sz w:val="28"/>
                <w:szCs w:val="28"/>
                <w:lang w:eastAsia="zh-CN"/>
              </w:rPr>
              <w:t>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号</w:t>
            </w:r>
          </w:p>
          <w:tbl>
            <w:tblPr>
              <w:tblStyle w:val="17"/>
              <w:tblpPr w:leftFromText="180" w:rightFromText="180" w:vertAnchor="text" w:horzAnchor="margin" w:tblpXSpec="center" w:tblpY="210"/>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2544"/>
              <w:gridCol w:w="2671"/>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247"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审批事项名称</w:t>
                  </w:r>
                </w:p>
              </w:tc>
              <w:tc>
                <w:tcPr>
                  <w:tcW w:w="7434" w:type="dxa"/>
                  <w:gridSpan w:val="3"/>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47" w:type="dxa"/>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申请单位</w:t>
                  </w:r>
                </w:p>
              </w:tc>
              <w:tc>
                <w:tcPr>
                  <w:tcW w:w="2544" w:type="dxa"/>
                  <w:vMerge w:val="restart"/>
                  <w:vAlign w:val="center"/>
                </w:tcPr>
                <w:p>
                  <w:pPr>
                    <w:spacing w:line="360" w:lineRule="exact"/>
                    <w:jc w:val="center"/>
                    <w:rPr>
                      <w:rFonts w:hint="eastAsia" w:ascii="仿宋_GB2312" w:hAnsi="仿宋_GB2312" w:eastAsia="仿宋_GB2312" w:cs="仿宋_GB2312"/>
                      <w:sz w:val="24"/>
                      <w:szCs w:val="24"/>
                    </w:rPr>
                  </w:pPr>
                </w:p>
              </w:tc>
              <w:tc>
                <w:tcPr>
                  <w:tcW w:w="2671"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2219" w:type="dxa"/>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47" w:type="dxa"/>
                  <w:vMerge w:val="continue"/>
                </w:tcPr>
                <w:p>
                  <w:pPr>
                    <w:spacing w:line="360" w:lineRule="exact"/>
                    <w:jc w:val="center"/>
                    <w:rPr>
                      <w:rFonts w:hint="eastAsia" w:ascii="仿宋_GB2312" w:hAnsi="仿宋_GB2312" w:eastAsia="仿宋_GB2312" w:cs="仿宋_GB2312"/>
                      <w:sz w:val="24"/>
                      <w:szCs w:val="24"/>
                    </w:rPr>
                  </w:pPr>
                </w:p>
              </w:tc>
              <w:tc>
                <w:tcPr>
                  <w:tcW w:w="2544" w:type="dxa"/>
                  <w:vMerge w:val="continue"/>
                  <w:vAlign w:val="center"/>
                </w:tcPr>
                <w:p>
                  <w:pPr>
                    <w:spacing w:line="360" w:lineRule="exact"/>
                    <w:jc w:val="center"/>
                    <w:rPr>
                      <w:rFonts w:hint="eastAsia" w:ascii="仿宋_GB2312" w:hAnsi="仿宋_GB2312" w:eastAsia="仿宋_GB2312" w:cs="仿宋_GB2312"/>
                      <w:sz w:val="24"/>
                      <w:szCs w:val="24"/>
                    </w:rPr>
                  </w:pPr>
                </w:p>
              </w:tc>
              <w:tc>
                <w:tcPr>
                  <w:tcW w:w="2671"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19" w:type="dxa"/>
                </w:tcPr>
                <w:p>
                  <w:pPr>
                    <w:spacing w:line="36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247" w:type="dxa"/>
                  <w:vAlign w:val="center"/>
                </w:tcPr>
                <w:p>
                  <w:pPr>
                    <w:spacing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审批项目类型</w:t>
                  </w:r>
                </w:p>
              </w:tc>
              <w:tc>
                <w:tcPr>
                  <w:tcW w:w="7434" w:type="dxa"/>
                  <w:gridSpan w:val="3"/>
                  <w:vAlign w:val="center"/>
                </w:tcPr>
                <w:p>
                  <w:pPr>
                    <w:adjustRightInd w:val="0"/>
                    <w:snapToGrid w:val="0"/>
                    <w:spacing w:line="360" w:lineRule="exact"/>
                    <w:ind w:firstLine="1080" w:firstLineChars="45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□拆除排水设施</w:t>
                  </w:r>
                  <w:r>
                    <w:rPr>
                      <w:rFonts w:hint="default" w:ascii="仿宋_GB2312" w:hAnsi="仿宋_GB2312" w:eastAsia="仿宋_GB2312" w:cs="仿宋_GB2312"/>
                      <w:sz w:val="24"/>
                      <w:szCs w:val="24"/>
                      <w:lang w:val="en-US"/>
                    </w:rPr>
                    <w:t xml:space="preserve">          </w:t>
                  </w: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lang w:val="en-US"/>
                    </w:rPr>
                    <w:t>改动</w:t>
                  </w:r>
                  <w:r>
                    <w:rPr>
                      <w:rFonts w:hint="eastAsia" w:ascii="仿宋_GB2312" w:hAnsi="仿宋_GB2312" w:eastAsia="仿宋_GB2312" w:cs="仿宋_GB2312"/>
                      <w:sz w:val="24"/>
                      <w:szCs w:val="24"/>
                    </w:rPr>
                    <w:t>排水设施；</w:t>
                  </w:r>
                </w:p>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□拆除污水处理设施</w:t>
                  </w:r>
                  <w:r>
                    <w:rPr>
                      <w:rFonts w:hint="default" w:ascii="仿宋_GB2312" w:hAnsi="仿宋_GB2312" w:eastAsia="仿宋_GB2312" w:cs="仿宋_GB2312"/>
                      <w:sz w:val="24"/>
                      <w:szCs w:val="24"/>
                      <w:lang w:val="en-US"/>
                    </w:rPr>
                    <w:t xml:space="preserve">      </w:t>
                  </w:r>
                  <w:r>
                    <w:rPr>
                      <w:rFonts w:hint="eastAsia" w:ascii="仿宋_GB2312" w:hAnsi="仿宋_GB2312" w:eastAsia="仿宋_GB2312" w:cs="仿宋_GB2312"/>
                      <w:sz w:val="24"/>
                      <w:szCs w:val="24"/>
                    </w:rPr>
                    <w:t>□</w:t>
                  </w:r>
                  <w:r>
                    <w:rPr>
                      <w:rFonts w:hint="default" w:ascii="仿宋_GB2312" w:hAnsi="仿宋_GB2312" w:eastAsia="仿宋_GB2312" w:cs="仿宋_GB2312"/>
                      <w:sz w:val="24"/>
                      <w:szCs w:val="24"/>
                      <w:lang w:val="en-US"/>
                    </w:rPr>
                    <w:t>改动</w:t>
                  </w:r>
                  <w:r>
                    <w:rPr>
                      <w:rFonts w:hint="eastAsia" w:ascii="仿宋_GB2312" w:hAnsi="仿宋_GB2312" w:eastAsia="仿宋_GB2312" w:cs="仿宋_GB2312"/>
                      <w:sz w:val="24"/>
                      <w:szCs w:val="24"/>
                    </w:rPr>
                    <w:t>污水处理设施</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47" w:type="dxa"/>
                  <w:vAlign w:val="center"/>
                </w:tcPr>
                <w:p>
                  <w:pPr>
                    <w:adjustRightInd w:val="0"/>
                    <w:snapToGrid w:val="0"/>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占用面积</w:t>
                  </w:r>
                </w:p>
              </w:tc>
              <w:tc>
                <w:tcPr>
                  <w:tcW w:w="2544" w:type="dxa"/>
                  <w:vAlign w:val="center"/>
                </w:tcPr>
                <w:p>
                  <w:pPr>
                    <w:adjustRightInd w:val="0"/>
                    <w:snapToGrid w:val="0"/>
                    <w:spacing w:line="240" w:lineRule="exact"/>
                    <w:jc w:val="center"/>
                    <w:rPr>
                      <w:rFonts w:hint="eastAsia" w:ascii="仿宋_GB2312" w:hAnsi="仿宋_GB2312" w:eastAsia="仿宋_GB2312" w:cs="仿宋_GB2312"/>
                      <w:sz w:val="24"/>
                      <w:szCs w:val="24"/>
                    </w:rPr>
                  </w:pPr>
                </w:p>
              </w:tc>
              <w:tc>
                <w:tcPr>
                  <w:tcW w:w="2671" w:type="dxa"/>
                  <w:vAlign w:val="center"/>
                </w:tcPr>
                <w:p>
                  <w:pPr>
                    <w:adjustRightInd w:val="0"/>
                    <w:snapToGrid w:val="0"/>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占用</w:t>
                  </w:r>
                  <w:r>
                    <w:rPr>
                      <w:rFonts w:hint="eastAsia" w:ascii="仿宋_GB2312" w:hAnsi="仿宋_GB2312" w:eastAsia="仿宋_GB2312" w:cs="仿宋_GB2312"/>
                      <w:sz w:val="24"/>
                      <w:szCs w:val="24"/>
                    </w:rPr>
                    <w:t>时间</w:t>
                  </w:r>
                </w:p>
              </w:tc>
              <w:tc>
                <w:tcPr>
                  <w:tcW w:w="2219" w:type="dxa"/>
                  <w:vAlign w:val="center"/>
                </w:tcPr>
                <w:p>
                  <w:pPr>
                    <w:adjustRightInd w:val="0"/>
                    <w:snapToGrid w:val="0"/>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47" w:type="dxa"/>
                  <w:vAlign w:val="center"/>
                </w:tcPr>
                <w:p>
                  <w:pPr>
                    <w:adjustRightInd w:val="0"/>
                    <w:snapToGrid w:val="0"/>
                    <w:spacing w:line="2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Cs w:val="21"/>
                    </w:rPr>
                    <w:t>需临时占用道路围挡施工面积（㎡）</w:t>
                  </w:r>
                </w:p>
              </w:tc>
              <w:tc>
                <w:tcPr>
                  <w:tcW w:w="2544" w:type="dxa"/>
                  <w:vAlign w:val="center"/>
                </w:tcPr>
                <w:p>
                  <w:pPr>
                    <w:adjustRightInd w:val="0"/>
                    <w:snapToGrid w:val="0"/>
                    <w:spacing w:line="240" w:lineRule="exact"/>
                    <w:jc w:val="center"/>
                    <w:rPr>
                      <w:rFonts w:hint="eastAsia" w:ascii="仿宋_GB2312" w:hAnsi="仿宋_GB2312" w:eastAsia="仿宋_GB2312" w:cs="仿宋_GB2312"/>
                      <w:sz w:val="24"/>
                      <w:szCs w:val="24"/>
                    </w:rPr>
                  </w:pPr>
                </w:p>
              </w:tc>
              <w:tc>
                <w:tcPr>
                  <w:tcW w:w="2671" w:type="dxa"/>
                  <w:vAlign w:val="center"/>
                </w:tcPr>
                <w:p>
                  <w:pPr>
                    <w:adjustRightInd w:val="0"/>
                    <w:snapToGrid w:val="0"/>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围挡时间</w:t>
                  </w:r>
                </w:p>
              </w:tc>
              <w:tc>
                <w:tcPr>
                  <w:tcW w:w="2219" w:type="dxa"/>
                  <w:vAlign w:val="center"/>
                </w:tcPr>
                <w:p>
                  <w:pPr>
                    <w:adjustRightInd w:val="0"/>
                    <w:snapToGrid w:val="0"/>
                    <w:spacing w:line="24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24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原因</w:t>
                  </w:r>
                </w:p>
              </w:tc>
              <w:tc>
                <w:tcPr>
                  <w:tcW w:w="7434" w:type="dxa"/>
                  <w:gridSpan w:val="3"/>
                  <w:vAlign w:val="center"/>
                </w:tcPr>
                <w:p>
                  <w:pPr>
                    <w:adjustRightInd w:val="0"/>
                    <w:snapToGrid w:val="0"/>
                    <w:spacing w:line="360" w:lineRule="exact"/>
                    <w:jc w:val="left"/>
                    <w:rPr>
                      <w:rFonts w:hint="eastAsia" w:ascii="仿宋_GB2312" w:hAnsi="仿宋_GB2312" w:eastAsia="仿宋_GB2312" w:cs="仿宋_GB2312"/>
                      <w:sz w:val="24"/>
                      <w:szCs w:val="24"/>
                    </w:rPr>
                  </w:pPr>
                </w:p>
                <w:p>
                  <w:pPr>
                    <w:adjustRightInd w:val="0"/>
                    <w:snapToGrid w:val="0"/>
                    <w:spacing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6" w:hRule="atLeast"/>
              </w:trPr>
              <w:tc>
                <w:tcPr>
                  <w:tcW w:w="2247" w:type="dxa"/>
                  <w:vAlign w:val="center"/>
                </w:tcPr>
                <w:p>
                  <w:pPr>
                    <w:adjustRightInd w:val="0"/>
                    <w:snapToGrid w:val="0"/>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审批要求</w:t>
                  </w:r>
                </w:p>
              </w:tc>
              <w:tc>
                <w:tcPr>
                  <w:tcW w:w="7434" w:type="dxa"/>
                  <w:gridSpan w:val="3"/>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施工现场全封闭围挡作业，围挡外观整洁、安全牢固，不得有破损，主次干道围挡高度不得低于2米，小街小巷的围挡高度不得低于1.8米，现场必须设立警示标志。</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施工现场悬挂公示牌，将有关施工、监督等信息进行公示。</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施工现场加强管理，采取抑尘措施，湿法作业，防止扬尘污染。</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施工产生的废弃物及时清运，不得污染路面。</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施工过程中做好周边市政设施、园林绿化的防护措施。造成损坏必须修复到位。</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施工完成后清理现场，清洗场地。</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事中、事后接受辖区执法大队监管。</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施工单位须谨慎施工，施工前应进行勘探，确定原有地下管线位置，并与相关管线单位取得联系，防止在施工过程中挖断或损坏地下原有管线，制定应急预案；如在施工过程中挖断或损坏地下原有管线，应立即向我局及相关管线单位报告，并积极抢修，迅速恢复使用。</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如涉及在车行道施工、封闭车行道，均需取得交警部门同意。</w:t>
                  </w:r>
                </w:p>
                <w:p>
                  <w:pPr>
                    <w:spacing w:line="340" w:lineRule="exact"/>
                    <w:jc w:val="center"/>
                    <w:rPr>
                      <w:rFonts w:hint="eastAsia" w:ascii="仿宋_GB2312" w:hAnsi="仿宋_GB2312" w:eastAsia="仿宋_GB2312" w:cs="仿宋_GB2312"/>
                      <w:sz w:val="18"/>
                      <w:szCs w:val="18"/>
                    </w:rPr>
                  </w:pPr>
                </w:p>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tc>
            </w:tr>
          </w:tbl>
          <w:p>
            <w:pPr>
              <w:pStyle w:val="62"/>
              <w:tabs>
                <w:tab w:val="clear" w:pos="4201"/>
                <w:tab w:val="clear" w:pos="9298"/>
              </w:tabs>
              <w:adjustRightInd/>
              <w:snapToGrid/>
              <w:spacing w:line="360" w:lineRule="exact"/>
              <w:ind w:left="0" w:leftChars="0" w:firstLine="0" w:firstLineChars="0"/>
              <w:jc w:val="left"/>
              <w:rPr>
                <w:rFonts w:hAnsi="宋体" w:eastAsia="宋体" w:cs="宋体"/>
                <w:sz w:val="24"/>
                <w:szCs w:val="24"/>
              </w:rPr>
            </w:pPr>
          </w:p>
        </w:tc>
      </w:tr>
    </w:tbl>
    <w:p>
      <w:pPr>
        <w:pStyle w:val="36"/>
        <w:spacing w:line="360" w:lineRule="exact"/>
        <w:ind w:firstLine="0" w:firstLineChars="0"/>
        <w:rPr>
          <w:rFonts w:hAnsi="宋体" w:cs="宋体"/>
        </w:rPr>
      </w:pP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Light"/>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 w:name="Ubuntu Light">
    <w:panose1 w:val="020B0604030602030204"/>
    <w:charset w:val="00"/>
    <w:family w:val="auto"/>
    <w:pitch w:val="default"/>
    <w:sig w:usb0="E00002FF" w:usb1="5000205B" w:usb2="00000000" w:usb3="00000000" w:csb0="2000009F" w:csb1="5601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5</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F"/>
    <w:rsid w:val="00000EFB"/>
    <w:rsid w:val="000022FE"/>
    <w:rsid w:val="00004254"/>
    <w:rsid w:val="00005FDF"/>
    <w:rsid w:val="00006A3E"/>
    <w:rsid w:val="0002074F"/>
    <w:rsid w:val="00023A9C"/>
    <w:rsid w:val="00035079"/>
    <w:rsid w:val="00036D36"/>
    <w:rsid w:val="00041507"/>
    <w:rsid w:val="00041AD6"/>
    <w:rsid w:val="000449E2"/>
    <w:rsid w:val="00046E5C"/>
    <w:rsid w:val="000502F8"/>
    <w:rsid w:val="00053C2B"/>
    <w:rsid w:val="00053E71"/>
    <w:rsid w:val="00061DBB"/>
    <w:rsid w:val="00064952"/>
    <w:rsid w:val="0006619E"/>
    <w:rsid w:val="00066FC9"/>
    <w:rsid w:val="000760FA"/>
    <w:rsid w:val="00084A1F"/>
    <w:rsid w:val="000908B8"/>
    <w:rsid w:val="000909F8"/>
    <w:rsid w:val="000933D1"/>
    <w:rsid w:val="00095042"/>
    <w:rsid w:val="00096020"/>
    <w:rsid w:val="000A2085"/>
    <w:rsid w:val="000A29F5"/>
    <w:rsid w:val="000B4D7D"/>
    <w:rsid w:val="000B52F1"/>
    <w:rsid w:val="000B5ED6"/>
    <w:rsid w:val="000C178C"/>
    <w:rsid w:val="000C2186"/>
    <w:rsid w:val="000C6DFB"/>
    <w:rsid w:val="000D68E7"/>
    <w:rsid w:val="000D707A"/>
    <w:rsid w:val="000D7A42"/>
    <w:rsid w:val="000E4881"/>
    <w:rsid w:val="000E61B6"/>
    <w:rsid w:val="000F0763"/>
    <w:rsid w:val="000F1446"/>
    <w:rsid w:val="000F70B3"/>
    <w:rsid w:val="00100930"/>
    <w:rsid w:val="001029A0"/>
    <w:rsid w:val="0010567C"/>
    <w:rsid w:val="00111F03"/>
    <w:rsid w:val="00120716"/>
    <w:rsid w:val="00122A7D"/>
    <w:rsid w:val="00126BD9"/>
    <w:rsid w:val="001316B2"/>
    <w:rsid w:val="001355F8"/>
    <w:rsid w:val="00136078"/>
    <w:rsid w:val="00137CA9"/>
    <w:rsid w:val="001404C8"/>
    <w:rsid w:val="00145E4C"/>
    <w:rsid w:val="00147E94"/>
    <w:rsid w:val="00151553"/>
    <w:rsid w:val="00151C89"/>
    <w:rsid w:val="00155DF2"/>
    <w:rsid w:val="001568F5"/>
    <w:rsid w:val="001654B3"/>
    <w:rsid w:val="001654FD"/>
    <w:rsid w:val="00166C29"/>
    <w:rsid w:val="00172CDE"/>
    <w:rsid w:val="00173CFB"/>
    <w:rsid w:val="0017489A"/>
    <w:rsid w:val="00181AF5"/>
    <w:rsid w:val="00182118"/>
    <w:rsid w:val="00186FBC"/>
    <w:rsid w:val="00191F32"/>
    <w:rsid w:val="001961F3"/>
    <w:rsid w:val="00196D00"/>
    <w:rsid w:val="0019792B"/>
    <w:rsid w:val="001A0A70"/>
    <w:rsid w:val="001A30B6"/>
    <w:rsid w:val="001A38FF"/>
    <w:rsid w:val="001A3A77"/>
    <w:rsid w:val="001A3E75"/>
    <w:rsid w:val="001A45AD"/>
    <w:rsid w:val="001A5875"/>
    <w:rsid w:val="001B5452"/>
    <w:rsid w:val="001D6AB9"/>
    <w:rsid w:val="001E0A34"/>
    <w:rsid w:val="001F0916"/>
    <w:rsid w:val="001F42BD"/>
    <w:rsid w:val="00200599"/>
    <w:rsid w:val="002048FA"/>
    <w:rsid w:val="00212E96"/>
    <w:rsid w:val="0021443F"/>
    <w:rsid w:val="00217EBF"/>
    <w:rsid w:val="00221E41"/>
    <w:rsid w:val="002228D6"/>
    <w:rsid w:val="00222902"/>
    <w:rsid w:val="00225DFC"/>
    <w:rsid w:val="002276EC"/>
    <w:rsid w:val="00235A1D"/>
    <w:rsid w:val="002366E9"/>
    <w:rsid w:val="002400E8"/>
    <w:rsid w:val="00256760"/>
    <w:rsid w:val="0026322B"/>
    <w:rsid w:val="00263252"/>
    <w:rsid w:val="00264DDB"/>
    <w:rsid w:val="00265806"/>
    <w:rsid w:val="002725AF"/>
    <w:rsid w:val="00275F9C"/>
    <w:rsid w:val="00276FB1"/>
    <w:rsid w:val="00283D94"/>
    <w:rsid w:val="00285BAA"/>
    <w:rsid w:val="0029269A"/>
    <w:rsid w:val="00292C98"/>
    <w:rsid w:val="002A35E4"/>
    <w:rsid w:val="002A4BA4"/>
    <w:rsid w:val="002A4C6D"/>
    <w:rsid w:val="002A6A59"/>
    <w:rsid w:val="002B0438"/>
    <w:rsid w:val="002B5D73"/>
    <w:rsid w:val="002B7B4E"/>
    <w:rsid w:val="002D1B97"/>
    <w:rsid w:val="002D7159"/>
    <w:rsid w:val="00300046"/>
    <w:rsid w:val="003004CA"/>
    <w:rsid w:val="0030382A"/>
    <w:rsid w:val="0031191E"/>
    <w:rsid w:val="00313392"/>
    <w:rsid w:val="00317068"/>
    <w:rsid w:val="0031799E"/>
    <w:rsid w:val="00327B0D"/>
    <w:rsid w:val="003368B0"/>
    <w:rsid w:val="0033783E"/>
    <w:rsid w:val="00342F38"/>
    <w:rsid w:val="00344F4B"/>
    <w:rsid w:val="00347C84"/>
    <w:rsid w:val="0035444E"/>
    <w:rsid w:val="00355C3D"/>
    <w:rsid w:val="003646B8"/>
    <w:rsid w:val="00364D31"/>
    <w:rsid w:val="00373E22"/>
    <w:rsid w:val="003801F2"/>
    <w:rsid w:val="0038184E"/>
    <w:rsid w:val="00382847"/>
    <w:rsid w:val="0039193F"/>
    <w:rsid w:val="003A13F6"/>
    <w:rsid w:val="003A6E13"/>
    <w:rsid w:val="003B1237"/>
    <w:rsid w:val="003B5CD3"/>
    <w:rsid w:val="003C1A47"/>
    <w:rsid w:val="003C38FE"/>
    <w:rsid w:val="003D0FA1"/>
    <w:rsid w:val="003D1521"/>
    <w:rsid w:val="003D36D7"/>
    <w:rsid w:val="003E7DF4"/>
    <w:rsid w:val="003F0FB6"/>
    <w:rsid w:val="003F2158"/>
    <w:rsid w:val="003F2ED6"/>
    <w:rsid w:val="003F420E"/>
    <w:rsid w:val="003F4454"/>
    <w:rsid w:val="003F59EF"/>
    <w:rsid w:val="00402BF5"/>
    <w:rsid w:val="004061E9"/>
    <w:rsid w:val="00406A87"/>
    <w:rsid w:val="00413C21"/>
    <w:rsid w:val="00414249"/>
    <w:rsid w:val="00414465"/>
    <w:rsid w:val="00417102"/>
    <w:rsid w:val="00424B75"/>
    <w:rsid w:val="004328B4"/>
    <w:rsid w:val="00433984"/>
    <w:rsid w:val="0043607C"/>
    <w:rsid w:val="004403A5"/>
    <w:rsid w:val="004476AF"/>
    <w:rsid w:val="00456AB3"/>
    <w:rsid w:val="00456EAA"/>
    <w:rsid w:val="004613C4"/>
    <w:rsid w:val="00472CAE"/>
    <w:rsid w:val="00474CFB"/>
    <w:rsid w:val="00476AC0"/>
    <w:rsid w:val="00480CD1"/>
    <w:rsid w:val="004849EE"/>
    <w:rsid w:val="0049228E"/>
    <w:rsid w:val="00493C1F"/>
    <w:rsid w:val="004A5ABA"/>
    <w:rsid w:val="004B05C3"/>
    <w:rsid w:val="004B7938"/>
    <w:rsid w:val="004C0CC6"/>
    <w:rsid w:val="004C258F"/>
    <w:rsid w:val="004C368D"/>
    <w:rsid w:val="004C420D"/>
    <w:rsid w:val="004C4D6D"/>
    <w:rsid w:val="004C6B98"/>
    <w:rsid w:val="004C6EDF"/>
    <w:rsid w:val="004C6F2F"/>
    <w:rsid w:val="004D380B"/>
    <w:rsid w:val="004D518E"/>
    <w:rsid w:val="004E6A1F"/>
    <w:rsid w:val="004F0B6E"/>
    <w:rsid w:val="0050027B"/>
    <w:rsid w:val="0050191C"/>
    <w:rsid w:val="00511135"/>
    <w:rsid w:val="00511B6E"/>
    <w:rsid w:val="00511D08"/>
    <w:rsid w:val="005145C1"/>
    <w:rsid w:val="005154D8"/>
    <w:rsid w:val="005206DC"/>
    <w:rsid w:val="005238E3"/>
    <w:rsid w:val="00524166"/>
    <w:rsid w:val="00525D38"/>
    <w:rsid w:val="0053124F"/>
    <w:rsid w:val="00533D7A"/>
    <w:rsid w:val="005379E3"/>
    <w:rsid w:val="00545E9B"/>
    <w:rsid w:val="005472A6"/>
    <w:rsid w:val="00565ED3"/>
    <w:rsid w:val="005814F7"/>
    <w:rsid w:val="0058253A"/>
    <w:rsid w:val="00582A0A"/>
    <w:rsid w:val="00586675"/>
    <w:rsid w:val="00586FD2"/>
    <w:rsid w:val="00587BB1"/>
    <w:rsid w:val="00590BB1"/>
    <w:rsid w:val="005922B3"/>
    <w:rsid w:val="00595770"/>
    <w:rsid w:val="005A6287"/>
    <w:rsid w:val="005A7F83"/>
    <w:rsid w:val="005B31DA"/>
    <w:rsid w:val="005B670E"/>
    <w:rsid w:val="005C0B2D"/>
    <w:rsid w:val="005C1B06"/>
    <w:rsid w:val="005C2D49"/>
    <w:rsid w:val="005C5F7A"/>
    <w:rsid w:val="005D1E1D"/>
    <w:rsid w:val="005D5FB7"/>
    <w:rsid w:val="005D7778"/>
    <w:rsid w:val="005D7CF6"/>
    <w:rsid w:val="005E0345"/>
    <w:rsid w:val="005F4631"/>
    <w:rsid w:val="00604928"/>
    <w:rsid w:val="00606DAA"/>
    <w:rsid w:val="00610795"/>
    <w:rsid w:val="006164BF"/>
    <w:rsid w:val="00621B9D"/>
    <w:rsid w:val="00621D69"/>
    <w:rsid w:val="006269FB"/>
    <w:rsid w:val="0062782E"/>
    <w:rsid w:val="00633454"/>
    <w:rsid w:val="006335B2"/>
    <w:rsid w:val="006525B7"/>
    <w:rsid w:val="006556DD"/>
    <w:rsid w:val="00664951"/>
    <w:rsid w:val="006705DD"/>
    <w:rsid w:val="00671BE8"/>
    <w:rsid w:val="006910F5"/>
    <w:rsid w:val="006A1E76"/>
    <w:rsid w:val="006A602F"/>
    <w:rsid w:val="006B2D23"/>
    <w:rsid w:val="006B6222"/>
    <w:rsid w:val="006C2818"/>
    <w:rsid w:val="006C35A4"/>
    <w:rsid w:val="006D0B80"/>
    <w:rsid w:val="006D2951"/>
    <w:rsid w:val="006E3843"/>
    <w:rsid w:val="006F1530"/>
    <w:rsid w:val="006F1D67"/>
    <w:rsid w:val="00702E55"/>
    <w:rsid w:val="00705A7C"/>
    <w:rsid w:val="007062E6"/>
    <w:rsid w:val="007129E4"/>
    <w:rsid w:val="007167F8"/>
    <w:rsid w:val="00716D74"/>
    <w:rsid w:val="00726533"/>
    <w:rsid w:val="007304D9"/>
    <w:rsid w:val="00730C33"/>
    <w:rsid w:val="00730CC8"/>
    <w:rsid w:val="00731267"/>
    <w:rsid w:val="007318A4"/>
    <w:rsid w:val="007321A4"/>
    <w:rsid w:val="0073297A"/>
    <w:rsid w:val="0073798E"/>
    <w:rsid w:val="0074392A"/>
    <w:rsid w:val="0075006D"/>
    <w:rsid w:val="00752647"/>
    <w:rsid w:val="00755638"/>
    <w:rsid w:val="00761367"/>
    <w:rsid w:val="007629EC"/>
    <w:rsid w:val="007660BA"/>
    <w:rsid w:val="00770BDB"/>
    <w:rsid w:val="00773F13"/>
    <w:rsid w:val="00776B68"/>
    <w:rsid w:val="00777370"/>
    <w:rsid w:val="0078171A"/>
    <w:rsid w:val="007946D6"/>
    <w:rsid w:val="00796790"/>
    <w:rsid w:val="007A0A0B"/>
    <w:rsid w:val="007B7FA3"/>
    <w:rsid w:val="007C0BD6"/>
    <w:rsid w:val="007D1803"/>
    <w:rsid w:val="007D1F33"/>
    <w:rsid w:val="007D2F69"/>
    <w:rsid w:val="007D71D0"/>
    <w:rsid w:val="007F4FF6"/>
    <w:rsid w:val="007F5885"/>
    <w:rsid w:val="00802864"/>
    <w:rsid w:val="00806F17"/>
    <w:rsid w:val="00820D2C"/>
    <w:rsid w:val="00824BD3"/>
    <w:rsid w:val="0082571F"/>
    <w:rsid w:val="0082636A"/>
    <w:rsid w:val="0082673D"/>
    <w:rsid w:val="008324EA"/>
    <w:rsid w:val="00841289"/>
    <w:rsid w:val="008427AE"/>
    <w:rsid w:val="00842EF4"/>
    <w:rsid w:val="00847662"/>
    <w:rsid w:val="0085078B"/>
    <w:rsid w:val="00851238"/>
    <w:rsid w:val="0085597B"/>
    <w:rsid w:val="00857B86"/>
    <w:rsid w:val="00863F10"/>
    <w:rsid w:val="0086619F"/>
    <w:rsid w:val="0086701D"/>
    <w:rsid w:val="00873D6D"/>
    <w:rsid w:val="00886481"/>
    <w:rsid w:val="008A23DA"/>
    <w:rsid w:val="008A5B4A"/>
    <w:rsid w:val="008A7853"/>
    <w:rsid w:val="008B4C2B"/>
    <w:rsid w:val="008B595D"/>
    <w:rsid w:val="008B724A"/>
    <w:rsid w:val="008C1D0C"/>
    <w:rsid w:val="008D7423"/>
    <w:rsid w:val="008D7CBD"/>
    <w:rsid w:val="008E2464"/>
    <w:rsid w:val="008E3FEE"/>
    <w:rsid w:val="008E4D84"/>
    <w:rsid w:val="008F18CD"/>
    <w:rsid w:val="008F294E"/>
    <w:rsid w:val="008F6E24"/>
    <w:rsid w:val="009028FE"/>
    <w:rsid w:val="00903D22"/>
    <w:rsid w:val="00910855"/>
    <w:rsid w:val="00910D33"/>
    <w:rsid w:val="00916143"/>
    <w:rsid w:val="009209F7"/>
    <w:rsid w:val="00924CA8"/>
    <w:rsid w:val="009277D2"/>
    <w:rsid w:val="00933E2B"/>
    <w:rsid w:val="0094090A"/>
    <w:rsid w:val="00943059"/>
    <w:rsid w:val="00943CC4"/>
    <w:rsid w:val="0094577B"/>
    <w:rsid w:val="00952294"/>
    <w:rsid w:val="00953406"/>
    <w:rsid w:val="0095477A"/>
    <w:rsid w:val="00954AF6"/>
    <w:rsid w:val="00955232"/>
    <w:rsid w:val="009561CD"/>
    <w:rsid w:val="009613C8"/>
    <w:rsid w:val="00962185"/>
    <w:rsid w:val="009655D4"/>
    <w:rsid w:val="00971128"/>
    <w:rsid w:val="00971280"/>
    <w:rsid w:val="0097273B"/>
    <w:rsid w:val="009740B1"/>
    <w:rsid w:val="00974193"/>
    <w:rsid w:val="00975B73"/>
    <w:rsid w:val="009809A5"/>
    <w:rsid w:val="009907B7"/>
    <w:rsid w:val="009908EB"/>
    <w:rsid w:val="00996604"/>
    <w:rsid w:val="009A598C"/>
    <w:rsid w:val="009A6971"/>
    <w:rsid w:val="009B7638"/>
    <w:rsid w:val="009C0618"/>
    <w:rsid w:val="009C2395"/>
    <w:rsid w:val="009C619C"/>
    <w:rsid w:val="009D602A"/>
    <w:rsid w:val="009D72A4"/>
    <w:rsid w:val="009D78A8"/>
    <w:rsid w:val="009F20F2"/>
    <w:rsid w:val="009F4890"/>
    <w:rsid w:val="00A24E43"/>
    <w:rsid w:val="00A26D90"/>
    <w:rsid w:val="00A27CBD"/>
    <w:rsid w:val="00A32657"/>
    <w:rsid w:val="00A35B73"/>
    <w:rsid w:val="00A35D4F"/>
    <w:rsid w:val="00A37433"/>
    <w:rsid w:val="00A6088B"/>
    <w:rsid w:val="00A71AE2"/>
    <w:rsid w:val="00A73240"/>
    <w:rsid w:val="00A73D1F"/>
    <w:rsid w:val="00A7711F"/>
    <w:rsid w:val="00A93609"/>
    <w:rsid w:val="00AA4567"/>
    <w:rsid w:val="00AA4692"/>
    <w:rsid w:val="00AA49C5"/>
    <w:rsid w:val="00AD502E"/>
    <w:rsid w:val="00AD56E2"/>
    <w:rsid w:val="00AD7CEC"/>
    <w:rsid w:val="00AE40BE"/>
    <w:rsid w:val="00AE4669"/>
    <w:rsid w:val="00AF3AC3"/>
    <w:rsid w:val="00AF3EDD"/>
    <w:rsid w:val="00AF4F3E"/>
    <w:rsid w:val="00B042AB"/>
    <w:rsid w:val="00B046E4"/>
    <w:rsid w:val="00B11084"/>
    <w:rsid w:val="00B13BB8"/>
    <w:rsid w:val="00B14127"/>
    <w:rsid w:val="00B20821"/>
    <w:rsid w:val="00B20F68"/>
    <w:rsid w:val="00B25B47"/>
    <w:rsid w:val="00B27182"/>
    <w:rsid w:val="00B27A3D"/>
    <w:rsid w:val="00B27C49"/>
    <w:rsid w:val="00B4215A"/>
    <w:rsid w:val="00B421C7"/>
    <w:rsid w:val="00B428AE"/>
    <w:rsid w:val="00B55720"/>
    <w:rsid w:val="00B61943"/>
    <w:rsid w:val="00B66C89"/>
    <w:rsid w:val="00B71321"/>
    <w:rsid w:val="00B76655"/>
    <w:rsid w:val="00B77622"/>
    <w:rsid w:val="00B81CBF"/>
    <w:rsid w:val="00B840FA"/>
    <w:rsid w:val="00B87F2F"/>
    <w:rsid w:val="00B91727"/>
    <w:rsid w:val="00B926C2"/>
    <w:rsid w:val="00BA30B2"/>
    <w:rsid w:val="00BA3B50"/>
    <w:rsid w:val="00BB1A11"/>
    <w:rsid w:val="00BB3CAC"/>
    <w:rsid w:val="00BB481A"/>
    <w:rsid w:val="00BB7395"/>
    <w:rsid w:val="00BD4FE0"/>
    <w:rsid w:val="00BD6D31"/>
    <w:rsid w:val="00BE5061"/>
    <w:rsid w:val="00BF124A"/>
    <w:rsid w:val="00BF2B22"/>
    <w:rsid w:val="00BF304F"/>
    <w:rsid w:val="00C0257E"/>
    <w:rsid w:val="00C02680"/>
    <w:rsid w:val="00C03325"/>
    <w:rsid w:val="00C055B7"/>
    <w:rsid w:val="00C06C68"/>
    <w:rsid w:val="00C06F61"/>
    <w:rsid w:val="00C07108"/>
    <w:rsid w:val="00C11BFD"/>
    <w:rsid w:val="00C14D6D"/>
    <w:rsid w:val="00C1735B"/>
    <w:rsid w:val="00C20527"/>
    <w:rsid w:val="00C24A6C"/>
    <w:rsid w:val="00C31571"/>
    <w:rsid w:val="00C3484C"/>
    <w:rsid w:val="00C416CA"/>
    <w:rsid w:val="00C41EDB"/>
    <w:rsid w:val="00C46490"/>
    <w:rsid w:val="00C46808"/>
    <w:rsid w:val="00C473A4"/>
    <w:rsid w:val="00C51D77"/>
    <w:rsid w:val="00C679F1"/>
    <w:rsid w:val="00C71E08"/>
    <w:rsid w:val="00C757CC"/>
    <w:rsid w:val="00C77256"/>
    <w:rsid w:val="00C77A86"/>
    <w:rsid w:val="00C8272B"/>
    <w:rsid w:val="00C86171"/>
    <w:rsid w:val="00C90EBE"/>
    <w:rsid w:val="00C92DCE"/>
    <w:rsid w:val="00C93EBD"/>
    <w:rsid w:val="00C95E09"/>
    <w:rsid w:val="00CA0579"/>
    <w:rsid w:val="00CA18A1"/>
    <w:rsid w:val="00CB049C"/>
    <w:rsid w:val="00CB38CB"/>
    <w:rsid w:val="00CB55FF"/>
    <w:rsid w:val="00CB587E"/>
    <w:rsid w:val="00CC0906"/>
    <w:rsid w:val="00CC48C7"/>
    <w:rsid w:val="00CC654C"/>
    <w:rsid w:val="00CC6AE0"/>
    <w:rsid w:val="00CD531D"/>
    <w:rsid w:val="00CE33E8"/>
    <w:rsid w:val="00CF134A"/>
    <w:rsid w:val="00CF1EEC"/>
    <w:rsid w:val="00CF44AC"/>
    <w:rsid w:val="00D01811"/>
    <w:rsid w:val="00D021D9"/>
    <w:rsid w:val="00D04613"/>
    <w:rsid w:val="00D071BE"/>
    <w:rsid w:val="00D15311"/>
    <w:rsid w:val="00D22C85"/>
    <w:rsid w:val="00D23691"/>
    <w:rsid w:val="00D23A1B"/>
    <w:rsid w:val="00D2639D"/>
    <w:rsid w:val="00D30D9C"/>
    <w:rsid w:val="00D329AA"/>
    <w:rsid w:val="00D5116D"/>
    <w:rsid w:val="00D51600"/>
    <w:rsid w:val="00D55822"/>
    <w:rsid w:val="00D56B12"/>
    <w:rsid w:val="00D607C4"/>
    <w:rsid w:val="00D7064C"/>
    <w:rsid w:val="00D73273"/>
    <w:rsid w:val="00D73985"/>
    <w:rsid w:val="00D75416"/>
    <w:rsid w:val="00D76DE8"/>
    <w:rsid w:val="00D8768A"/>
    <w:rsid w:val="00D91335"/>
    <w:rsid w:val="00D93924"/>
    <w:rsid w:val="00D9504F"/>
    <w:rsid w:val="00DA4E8A"/>
    <w:rsid w:val="00DA764D"/>
    <w:rsid w:val="00DB041F"/>
    <w:rsid w:val="00DB33BD"/>
    <w:rsid w:val="00DB38B5"/>
    <w:rsid w:val="00DB6180"/>
    <w:rsid w:val="00DC04ED"/>
    <w:rsid w:val="00DC43C9"/>
    <w:rsid w:val="00DD21EE"/>
    <w:rsid w:val="00DD2710"/>
    <w:rsid w:val="00DE3509"/>
    <w:rsid w:val="00DE3F79"/>
    <w:rsid w:val="00DE719A"/>
    <w:rsid w:val="00DE74BB"/>
    <w:rsid w:val="00DF09E4"/>
    <w:rsid w:val="00DF74A5"/>
    <w:rsid w:val="00E04619"/>
    <w:rsid w:val="00E04FFF"/>
    <w:rsid w:val="00E1237A"/>
    <w:rsid w:val="00E13C4A"/>
    <w:rsid w:val="00E24AE6"/>
    <w:rsid w:val="00E25DB9"/>
    <w:rsid w:val="00E27577"/>
    <w:rsid w:val="00E33E9F"/>
    <w:rsid w:val="00E406EF"/>
    <w:rsid w:val="00E445FA"/>
    <w:rsid w:val="00E4466A"/>
    <w:rsid w:val="00E447B8"/>
    <w:rsid w:val="00E462D0"/>
    <w:rsid w:val="00E47B05"/>
    <w:rsid w:val="00E645D0"/>
    <w:rsid w:val="00E66B73"/>
    <w:rsid w:val="00E67A9E"/>
    <w:rsid w:val="00E703E0"/>
    <w:rsid w:val="00E71BDA"/>
    <w:rsid w:val="00E76976"/>
    <w:rsid w:val="00E841B2"/>
    <w:rsid w:val="00E87CBE"/>
    <w:rsid w:val="00E92226"/>
    <w:rsid w:val="00EB154D"/>
    <w:rsid w:val="00EB1F12"/>
    <w:rsid w:val="00EC2663"/>
    <w:rsid w:val="00EC70F9"/>
    <w:rsid w:val="00ED0C33"/>
    <w:rsid w:val="00ED5CA6"/>
    <w:rsid w:val="00EE0E86"/>
    <w:rsid w:val="00EE4131"/>
    <w:rsid w:val="00EF099A"/>
    <w:rsid w:val="00EF4B8E"/>
    <w:rsid w:val="00F06EDB"/>
    <w:rsid w:val="00F16FA3"/>
    <w:rsid w:val="00F26038"/>
    <w:rsid w:val="00F31982"/>
    <w:rsid w:val="00F41A06"/>
    <w:rsid w:val="00F50A1A"/>
    <w:rsid w:val="00F54DAC"/>
    <w:rsid w:val="00F56CEC"/>
    <w:rsid w:val="00F663C8"/>
    <w:rsid w:val="00F66BED"/>
    <w:rsid w:val="00F76C9E"/>
    <w:rsid w:val="00F77581"/>
    <w:rsid w:val="00F8079E"/>
    <w:rsid w:val="00F9253B"/>
    <w:rsid w:val="00F93E8D"/>
    <w:rsid w:val="00F9408C"/>
    <w:rsid w:val="00F95775"/>
    <w:rsid w:val="00F97206"/>
    <w:rsid w:val="00FA0AD6"/>
    <w:rsid w:val="00FA4214"/>
    <w:rsid w:val="00FB2565"/>
    <w:rsid w:val="00FC1560"/>
    <w:rsid w:val="00FC2D96"/>
    <w:rsid w:val="00FD1730"/>
    <w:rsid w:val="00FD4021"/>
    <w:rsid w:val="00FD7DA3"/>
    <w:rsid w:val="00FF05C6"/>
    <w:rsid w:val="00FF2640"/>
    <w:rsid w:val="00FF6184"/>
    <w:rsid w:val="02262533"/>
    <w:rsid w:val="06D81837"/>
    <w:rsid w:val="0A9C00A9"/>
    <w:rsid w:val="12AB39B1"/>
    <w:rsid w:val="1AFF7958"/>
    <w:rsid w:val="1F1E621C"/>
    <w:rsid w:val="225E6E5B"/>
    <w:rsid w:val="22BB4F56"/>
    <w:rsid w:val="24DE58B5"/>
    <w:rsid w:val="2DB8464D"/>
    <w:rsid w:val="2DEFD0CE"/>
    <w:rsid w:val="2DFFF697"/>
    <w:rsid w:val="31202624"/>
    <w:rsid w:val="31F655A8"/>
    <w:rsid w:val="349334CE"/>
    <w:rsid w:val="39E77318"/>
    <w:rsid w:val="3BEEF86E"/>
    <w:rsid w:val="44DE73B5"/>
    <w:rsid w:val="48F4724F"/>
    <w:rsid w:val="498175CB"/>
    <w:rsid w:val="49B45D6B"/>
    <w:rsid w:val="49E0593F"/>
    <w:rsid w:val="4B5903DF"/>
    <w:rsid w:val="4F5C67F7"/>
    <w:rsid w:val="50FE4B44"/>
    <w:rsid w:val="5366692D"/>
    <w:rsid w:val="53930165"/>
    <w:rsid w:val="57945C71"/>
    <w:rsid w:val="587D52F8"/>
    <w:rsid w:val="5A7728B9"/>
    <w:rsid w:val="61D63DEC"/>
    <w:rsid w:val="6FB25A93"/>
    <w:rsid w:val="73353294"/>
    <w:rsid w:val="771D3F6D"/>
    <w:rsid w:val="77F1328E"/>
    <w:rsid w:val="78293DF3"/>
    <w:rsid w:val="78BF0875"/>
    <w:rsid w:val="7B7E5F0F"/>
    <w:rsid w:val="7EFC60B2"/>
    <w:rsid w:val="7FFF622D"/>
    <w:rsid w:val="D7FF79ED"/>
    <w:rsid w:val="FAFF8E70"/>
    <w:rsid w:val="FBF746DA"/>
    <w:rsid w:val="FF7BB525"/>
    <w:rsid w:val="FFAF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424</Words>
  <Characters>2417</Characters>
  <Lines>20</Lines>
  <Paragraphs>5</Paragraphs>
  <TotalTime>1</TotalTime>
  <ScaleCrop>false</ScaleCrop>
  <LinksUpToDate>false</LinksUpToDate>
  <CharactersWithSpaces>2836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2019-11-14T09:23:00Z</dcterms:created>
  <dc:creator>mz chen</dc:creator>
  <cp:lastModifiedBy>user</cp:lastModifiedBy>
  <cp:lastPrinted>2017-11-16T15:05:00Z</cp:lastPrinted>
  <dcterms:modified xsi:type="dcterms:W3CDTF">2022-12-26T15:34:02Z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6652B8092AF74B009EAEE6EA2EFB6419</vt:lpwstr>
  </property>
</Properties>
</file>